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lang w:val="en-US" w:eastAsia="zh-CN"/>
        </w:rPr>
      </w:pPr>
      <w:bookmarkStart w:id="0" w:name="_GoBack"/>
      <w:bookmarkEnd w:id="0"/>
      <w:r>
        <w:rPr>
          <w:rFonts w:hint="eastAsia" w:ascii="Times New Roman" w:hAnsi="Times New Roman" w:eastAsia="方正仿宋简体" w:cs="Times New Roman"/>
          <w:b/>
          <w:bCs/>
          <w:i w:val="0"/>
          <w:caps w:val="0"/>
          <w:color w:val="000000"/>
          <w:spacing w:val="-2"/>
          <w:w w:val="100"/>
          <w:kern w:val="24"/>
          <w:sz w:val="32"/>
          <w:szCs w:val="32"/>
          <w:lang w:val="en-US" w:eastAsia="zh-CN"/>
        </w:rPr>
        <w:t>JXDR-2023-0020001</w:t>
      </w: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center"/>
        <w:textAlignment w:val="baseline"/>
        <w:rPr>
          <w:rFonts w:hint="default" w:ascii="Times New Roman" w:hAnsi="Times New Roman" w:eastAsia="方正仿宋简体" w:cs="Times New Roman"/>
          <w:b/>
          <w:bCs/>
          <w:i w:val="0"/>
          <w:caps w:val="0"/>
          <w:color w:val="000000"/>
          <w:spacing w:val="-2"/>
          <w:w w:val="100"/>
          <w:kern w:val="24"/>
          <w:sz w:val="32"/>
          <w:szCs w:val="32"/>
        </w:rPr>
      </w:pPr>
      <w:r>
        <w:rPr>
          <w:rFonts w:hint="default" w:ascii="Times New Roman" w:hAnsi="Times New Roman" w:eastAsia="方正仿宋简体" w:cs="Times New Roman"/>
          <w:b/>
          <w:bCs/>
          <w:i w:val="0"/>
          <w:caps w:val="0"/>
          <w:color w:val="000000"/>
          <w:spacing w:val="-2"/>
          <w:w w:val="100"/>
          <w:kern w:val="24"/>
          <w:sz w:val="32"/>
          <w:szCs w:val="32"/>
        </w:rPr>
        <w:t>嘉政办发〔202</w:t>
      </w:r>
      <w:r>
        <w:rPr>
          <w:rFonts w:hint="eastAsia" w:ascii="Times New Roman" w:hAnsi="Times New Roman" w:eastAsia="方正仿宋简体" w:cs="Times New Roman"/>
          <w:b/>
          <w:bCs/>
          <w:i w:val="0"/>
          <w:caps w:val="0"/>
          <w:color w:val="000000"/>
          <w:spacing w:val="-2"/>
          <w:w w:val="100"/>
          <w:kern w:val="24"/>
          <w:sz w:val="32"/>
          <w:szCs w:val="32"/>
          <w:lang w:val="en-US" w:eastAsia="zh-CN"/>
        </w:rPr>
        <w:t>3</w:t>
      </w:r>
      <w:r>
        <w:rPr>
          <w:rFonts w:hint="default" w:ascii="Times New Roman" w:hAnsi="Times New Roman" w:eastAsia="方正仿宋简体" w:cs="Times New Roman"/>
          <w:b/>
          <w:bCs/>
          <w:i w:val="0"/>
          <w:caps w:val="0"/>
          <w:color w:val="000000"/>
          <w:spacing w:val="-2"/>
          <w:w w:val="100"/>
          <w:kern w:val="24"/>
          <w:sz w:val="32"/>
          <w:szCs w:val="32"/>
        </w:rPr>
        <w:t>〕</w:t>
      </w:r>
      <w:r>
        <w:rPr>
          <w:rFonts w:hint="eastAsia" w:ascii="Times New Roman" w:hAnsi="Times New Roman" w:eastAsia="方正仿宋简体" w:cs="Times New Roman"/>
          <w:b/>
          <w:bCs/>
          <w:i w:val="0"/>
          <w:caps w:val="0"/>
          <w:color w:val="000000"/>
          <w:spacing w:val="-2"/>
          <w:w w:val="100"/>
          <w:kern w:val="24"/>
          <w:sz w:val="32"/>
          <w:szCs w:val="32"/>
          <w:lang w:val="en-US" w:eastAsia="zh-CN"/>
        </w:rPr>
        <w:t>2</w:t>
      </w:r>
      <w:r>
        <w:rPr>
          <w:rFonts w:hint="default" w:ascii="Times New Roman" w:hAnsi="Times New Roman" w:eastAsia="方正仿宋简体" w:cs="Times New Roman"/>
          <w:b/>
          <w:bCs/>
          <w:i w:val="0"/>
          <w:caps w:val="0"/>
          <w:color w:val="000000"/>
          <w:spacing w:val="-2"/>
          <w:w w:val="100"/>
          <w:kern w:val="24"/>
          <w:sz w:val="32"/>
          <w:szCs w:val="32"/>
        </w:rPr>
        <w:t>号</w:t>
      </w:r>
    </w:p>
    <w:p>
      <w:pPr>
        <w:keepLines w:val="0"/>
        <w:widowControl/>
        <w:snapToGrid/>
        <w:spacing w:before="0" w:beforeAutospacing="0" w:after="0" w:afterAutospacing="0" w:line="560" w:lineRule="exact"/>
        <w:jc w:val="center"/>
        <w:textAlignment w:val="baseline"/>
        <w:rPr>
          <w:rFonts w:hint="default" w:ascii="Times New Roman" w:hAnsi="Times New Roman" w:eastAsia="方正小标宋简体" w:cs="Times New Roman"/>
          <w:b/>
          <w:bCs/>
          <w:i w:val="0"/>
          <w:caps w:val="0"/>
          <w:spacing w:val="0"/>
          <w:w w:val="95"/>
          <w:sz w:val="44"/>
          <w:szCs w:val="4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baseline"/>
        <w:rPr>
          <w:rFonts w:hint="default" w:ascii="Times New Roman" w:hAnsi="Times New Roman" w:eastAsia="方正小标宋简体" w:cs="Times New Roman"/>
          <w:b/>
          <w:bCs/>
          <w:i w:val="0"/>
          <w:caps w:val="0"/>
          <w:spacing w:val="0"/>
          <w:w w:val="95"/>
          <w:sz w:val="44"/>
          <w:szCs w:val="44"/>
        </w:rPr>
      </w:pPr>
      <w:r>
        <w:rPr>
          <w:rFonts w:hint="default" w:ascii="Times New Roman" w:hAnsi="Times New Roman" w:eastAsia="方正小标宋简体" w:cs="Times New Roman"/>
          <w:b/>
          <w:bCs/>
          <w:i w:val="0"/>
          <w:caps w:val="0"/>
          <w:spacing w:val="0"/>
          <w:w w:val="95"/>
          <w:sz w:val="44"/>
          <w:szCs w:val="44"/>
        </w:rPr>
        <w:t>嘉祥县人民政府办公室</w:t>
      </w:r>
    </w:p>
    <w:p>
      <w:pPr>
        <w:spacing w:line="600" w:lineRule="exact"/>
        <w:jc w:val="center"/>
        <w:rPr>
          <w:rFonts w:ascii="方正小标宋简体" w:eastAsia="方正小标宋简体" w:hAnsiTheme="majorEastAsia"/>
          <w:b/>
          <w:bCs/>
          <w:sz w:val="44"/>
          <w:szCs w:val="44"/>
        </w:rPr>
      </w:pPr>
      <w:r>
        <w:rPr>
          <w:rFonts w:hint="default" w:ascii="Times New Roman" w:hAnsi="Times New Roman" w:eastAsia="方正小标宋简体" w:cs="Times New Roman"/>
          <w:b/>
          <w:bCs/>
          <w:i w:val="0"/>
          <w:caps w:val="0"/>
          <w:spacing w:val="0"/>
          <w:w w:val="95"/>
          <w:sz w:val="44"/>
          <w:szCs w:val="44"/>
        </w:rPr>
        <w:t>关于印发</w:t>
      </w:r>
      <w:r>
        <w:rPr>
          <w:rFonts w:hint="eastAsia" w:ascii="Times New Roman" w:hAnsi="Times New Roman" w:eastAsia="方正小标宋简体" w:cs="Times New Roman"/>
          <w:b/>
          <w:bCs/>
          <w:i w:val="0"/>
          <w:caps w:val="0"/>
          <w:spacing w:val="0"/>
          <w:w w:val="95"/>
          <w:sz w:val="44"/>
          <w:szCs w:val="44"/>
          <w:lang w:eastAsia="zh-CN"/>
        </w:rPr>
        <w:t>《</w:t>
      </w:r>
      <w:r>
        <w:rPr>
          <w:rFonts w:hint="eastAsia" w:ascii="方正小标宋简体" w:eastAsia="方正小标宋简体" w:hAnsiTheme="majorEastAsia"/>
          <w:b/>
          <w:bCs/>
          <w:sz w:val="44"/>
          <w:szCs w:val="44"/>
        </w:rPr>
        <w:t>嘉祥县城区城市基础设施配套费</w:t>
      </w:r>
    </w:p>
    <w:p>
      <w:pPr>
        <w:spacing w:line="600" w:lineRule="exact"/>
        <w:jc w:val="center"/>
        <w:rPr>
          <w:rFonts w:ascii="方正小标宋简体" w:eastAsia="方正小标宋简体" w:hAnsiTheme="majorEastAsia"/>
          <w:b/>
          <w:bCs/>
          <w:sz w:val="44"/>
          <w:szCs w:val="44"/>
        </w:rPr>
      </w:pPr>
      <w:r>
        <w:rPr>
          <w:rFonts w:hint="eastAsia" w:ascii="方正小标宋简体" w:eastAsia="方正小标宋简体" w:hAnsiTheme="majorEastAsia"/>
          <w:b/>
          <w:bCs/>
          <w:sz w:val="44"/>
          <w:szCs w:val="44"/>
        </w:rPr>
        <w:t>征收使用管理办法</w:t>
      </w:r>
      <w:r>
        <w:rPr>
          <w:rFonts w:hint="eastAsia" w:ascii="Times New Roman" w:hAnsi="Times New Roman" w:eastAsia="方正小标宋简体" w:cs="Times New Roman"/>
          <w:b/>
          <w:bCs/>
          <w:i w:val="0"/>
          <w:caps w:val="0"/>
          <w:spacing w:val="0"/>
          <w:w w:val="95"/>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firstLine="420" w:firstLineChars="100"/>
        <w:jc w:val="center"/>
        <w:textAlignment w:val="baseline"/>
        <w:rPr>
          <w:rFonts w:hint="default" w:ascii="Times New Roman" w:hAnsi="Times New Roman" w:eastAsia="方正小标宋简体" w:cs="Times New Roman"/>
          <w:b/>
          <w:bCs/>
          <w:i w:val="0"/>
          <w:caps w:val="0"/>
          <w:spacing w:val="0"/>
          <w:w w:val="95"/>
          <w:sz w:val="44"/>
          <w:szCs w:val="44"/>
        </w:rPr>
      </w:pPr>
    </w:p>
    <w:p>
      <w:pPr>
        <w:keepLines w:val="0"/>
        <w:snapToGrid/>
        <w:spacing w:before="0" w:beforeAutospacing="0" w:after="0" w:afterAutospacing="0" w:line="560" w:lineRule="exact"/>
        <w:jc w:val="both"/>
        <w:textAlignment w:val="baseline"/>
        <w:rPr>
          <w:rFonts w:hint="default" w:ascii="Times New Roman" w:hAnsi="Times New Roman" w:eastAsia="方正小标宋简体" w:cs="Times New Roman"/>
          <w:b/>
          <w:bCs/>
          <w:i w:val="0"/>
          <w:caps w:val="0"/>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kern w:val="2"/>
          <w:sz w:val="32"/>
          <w:szCs w:val="32"/>
        </w:rPr>
      </w:pPr>
      <w:r>
        <w:rPr>
          <w:rFonts w:hint="default" w:ascii="Times New Roman" w:hAnsi="Times New Roman" w:eastAsia="方正仿宋简体" w:cs="Times New Roman"/>
          <w:b/>
          <w:bCs/>
          <w:i w:val="0"/>
          <w:caps w:val="0"/>
          <w:color w:val="000000"/>
          <w:spacing w:val="0"/>
          <w:w w:val="100"/>
          <w:kern w:val="2"/>
          <w:sz w:val="32"/>
          <w:szCs w:val="32"/>
        </w:rPr>
        <w:t>各镇（街道）人民政府（办事处），嘉祥经济开发区管委会，县政府有关部门，各企事业单位：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kern w:val="2"/>
          <w:sz w:val="32"/>
          <w:szCs w:val="32"/>
          <w:lang w:val="en-US" w:eastAsia="zh-CN" w:bidi="ar-SA"/>
        </w:rPr>
      </w:pPr>
      <w:r>
        <w:rPr>
          <w:rFonts w:hint="default" w:ascii="Times New Roman" w:hAnsi="Times New Roman" w:eastAsia="方正仿宋简体" w:cs="Times New Roman"/>
          <w:b/>
          <w:bCs/>
          <w:i w:val="0"/>
          <w:caps w:val="0"/>
          <w:color w:val="000000"/>
          <w:spacing w:val="0"/>
          <w:w w:val="100"/>
          <w:sz w:val="32"/>
          <w:szCs w:val="32"/>
          <w:lang w:val="en-US" w:eastAsia="zh-CN"/>
        </w:rPr>
        <w:t>《</w:t>
      </w:r>
      <w:r>
        <w:rPr>
          <w:rFonts w:hint="eastAsia" w:ascii="Times New Roman" w:hAnsi="Times New Roman" w:eastAsia="方正仿宋简体" w:cs="Times New Roman"/>
          <w:b/>
          <w:bCs/>
          <w:i w:val="0"/>
          <w:caps w:val="0"/>
          <w:color w:val="000000"/>
          <w:spacing w:val="0"/>
          <w:w w:val="100"/>
          <w:kern w:val="2"/>
          <w:sz w:val="32"/>
          <w:szCs w:val="32"/>
          <w:lang w:val="en-US" w:eastAsia="zh-CN" w:bidi="ar-SA"/>
        </w:rPr>
        <w:t>嘉祥县城区城市基础设施配套费征收使用管理办法</w:t>
      </w:r>
      <w:r>
        <w:rPr>
          <w:rFonts w:hint="default" w:ascii="Times New Roman" w:hAnsi="Times New Roman" w:eastAsia="方正仿宋简体" w:cs="Times New Roman"/>
          <w:b/>
          <w:bCs/>
          <w:i w:val="0"/>
          <w:caps w:val="0"/>
          <w:color w:val="000000"/>
          <w:spacing w:val="0"/>
          <w:w w:val="100"/>
          <w:kern w:val="2"/>
          <w:sz w:val="32"/>
          <w:szCs w:val="32"/>
          <w:lang w:val="en-US" w:eastAsia="zh-CN" w:bidi="ar-SA"/>
        </w:rPr>
        <w:t>》已经县政府同意，现印发给你们，请结合实际，认真贯彻执行。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19" w:firstLineChars="1500"/>
        <w:jc w:val="both"/>
        <w:textAlignment w:val="baseline"/>
        <w:rPr>
          <w:rFonts w:hint="default" w:ascii="Times New Roman" w:hAnsi="Times New Roman" w:eastAsia="方正仿宋简体" w:cs="Times New Roman"/>
          <w:b/>
          <w:bCs/>
          <w:i w:val="0"/>
          <w:cap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140" w:firstLineChars="16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r>
        <w:rPr>
          <w:rFonts w:hint="eastAsia" w:ascii="Times New Roman" w:hAnsi="Times New Roman" w:eastAsia="方正仿宋简体" w:cs="Times New Roman"/>
          <w:b/>
          <w:bCs/>
          <w:i w:val="0"/>
          <w:caps w:val="0"/>
          <w:color w:val="000000"/>
          <w:spacing w:val="0"/>
          <w:w w:val="100"/>
          <w:sz w:val="32"/>
          <w:szCs w:val="32"/>
          <w:lang w:val="en-US" w:eastAsia="zh-CN"/>
        </w:rPr>
        <w:t xml:space="preserve">  </w:t>
      </w:r>
      <w:r>
        <w:rPr>
          <w:rFonts w:hint="default" w:ascii="Times New Roman" w:hAnsi="Times New Roman" w:eastAsia="方正仿宋简体" w:cs="Times New Roman"/>
          <w:b/>
          <w:bCs/>
          <w:i w:val="0"/>
          <w:caps w:val="0"/>
          <w:color w:val="000000"/>
          <w:spacing w:val="0"/>
          <w:w w:val="100"/>
          <w:sz w:val="32"/>
          <w:szCs w:val="32"/>
        </w:rPr>
        <w:t>202</w:t>
      </w:r>
      <w:r>
        <w:rPr>
          <w:rFonts w:hint="eastAsia"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月</w:t>
      </w:r>
      <w:r>
        <w:rPr>
          <w:rFonts w:hint="eastAsia"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（此件公开发布）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小标宋简体" w:cs="Times New Roman"/>
          <w:b/>
          <w:bCs/>
          <w:i w:val="0"/>
          <w:caps w:val="0"/>
          <w:color w:val="000000"/>
          <w:spacing w:val="0"/>
          <w:w w:val="100"/>
          <w:sz w:val="44"/>
          <w:szCs w:val="44"/>
        </w:rPr>
      </w:pPr>
    </w:p>
    <w:p>
      <w:pPr>
        <w:keepLines w:val="0"/>
        <w:widowControl w:val="0"/>
        <w:snapToGrid/>
        <w:spacing w:before="0" w:beforeAutospacing="0" w:after="0" w:afterAutospacing="0" w:line="560" w:lineRule="exact"/>
        <w:jc w:val="both"/>
        <w:textAlignment w:val="baseline"/>
        <w:rPr>
          <w:rFonts w:hint="default" w:ascii="Times New Roman" w:hAnsi="Times New Roman" w:eastAsia="方正小标宋简体" w:cs="Times New Roman"/>
          <w:b w:val="0"/>
          <w:i w:val="0"/>
          <w:caps w:val="0"/>
          <w:color w:val="444444"/>
          <w:spacing w:val="0"/>
          <w:w w:val="100"/>
          <w:sz w:val="44"/>
          <w:szCs w:val="44"/>
          <w:shd w:val="clear" w:color="auto" w:fill="FFFFFF"/>
        </w:rPr>
      </w:pPr>
    </w:p>
    <w:p>
      <w:pPr>
        <w:spacing w:line="600" w:lineRule="exact"/>
        <w:jc w:val="center"/>
        <w:rPr>
          <w:rFonts w:ascii="方正小标宋简体" w:eastAsia="方正小标宋简体" w:hAnsiTheme="majorEastAsia"/>
          <w:b/>
          <w:bCs/>
          <w:sz w:val="44"/>
          <w:szCs w:val="44"/>
        </w:rPr>
      </w:pPr>
      <w:r>
        <w:rPr>
          <w:rFonts w:hint="eastAsia" w:ascii="方正小标宋简体" w:eastAsia="方正小标宋简体" w:hAnsiTheme="majorEastAsia"/>
          <w:b/>
          <w:bCs/>
          <w:sz w:val="44"/>
          <w:szCs w:val="44"/>
        </w:rPr>
        <w:t>嘉祥县城区城市基础设施配套费</w:t>
      </w:r>
    </w:p>
    <w:p>
      <w:pPr>
        <w:spacing w:line="600" w:lineRule="exact"/>
        <w:jc w:val="center"/>
        <w:rPr>
          <w:rFonts w:ascii="方正小标宋简体" w:eastAsia="方正小标宋简体" w:hAnsiTheme="majorEastAsia"/>
          <w:b/>
          <w:bCs/>
          <w:sz w:val="44"/>
          <w:szCs w:val="44"/>
        </w:rPr>
      </w:pPr>
      <w:r>
        <w:rPr>
          <w:rFonts w:hint="eastAsia" w:ascii="方正小标宋简体" w:eastAsia="方正小标宋简体" w:hAnsiTheme="majorEastAsia"/>
          <w:b/>
          <w:bCs/>
          <w:sz w:val="44"/>
          <w:szCs w:val="44"/>
        </w:rPr>
        <w:t>征收使用管理办法</w:t>
      </w:r>
    </w:p>
    <w:p>
      <w:pPr>
        <w:spacing w:line="600" w:lineRule="exact"/>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第一条</w:t>
      </w:r>
      <w:r>
        <w:rPr>
          <w:rFonts w:hint="default" w:ascii="Times New Roman" w:hAnsi="Times New Roman" w:eastAsia="方正仿宋简体" w:cs="Times New Roman"/>
          <w:b/>
          <w:bCs/>
          <w:sz w:val="32"/>
          <w:szCs w:val="32"/>
        </w:rPr>
        <w:t xml:space="preserve">  为进一步加强和规范城市基础设施配套费征收使用管理，促进城市基础设施建设，根据有关法律、法规、规章和《济宁市人民政府关于印发&lt;济宁市主城区城市基础设施配套费征收使用管理办法&gt;的通知》（济政发〔2021〕18号）规定，结合我县城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第二条</w:t>
      </w:r>
      <w:r>
        <w:rPr>
          <w:rFonts w:hint="default" w:ascii="Times New Roman" w:hAnsi="Times New Roman" w:eastAsia="方正仿宋简体" w:cs="Times New Roman"/>
          <w:b/>
          <w:bCs/>
          <w:sz w:val="32"/>
          <w:szCs w:val="32"/>
        </w:rPr>
        <w:t xml:space="preserve">  本办法所称城区包括嘉祥中心城区（嘉祥街道、万张街道、卧龙山街道）、嘉祥经济开发区（化工产业园、高铁产业园、临港产业园）。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第三条</w:t>
      </w:r>
      <w:r>
        <w:rPr>
          <w:rFonts w:hint="default" w:ascii="Times New Roman" w:hAnsi="Times New Roman" w:eastAsia="方正仿宋简体" w:cs="Times New Roman"/>
          <w:b/>
          <w:bCs/>
          <w:sz w:val="32"/>
          <w:szCs w:val="32"/>
        </w:rPr>
        <w:t xml:space="preserve"> 本办法所称城市基础设施配套费，是指用于嘉祥县城区城市基础设施建设的专项资金，包括综合配套费和专项配套费。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综合配套费，是指由县政府统筹使用，主要用于嘉祥县城区城市道路、桥梁等市政公用基础设施建设的专项资金。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专项配套费，是指由城市供水、供气、供热、供电单位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以下统称专业经营单位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使用，用于建设项目规划红线外（建设项目规划边界线）供水、供气、供热、供电设施设备建设的专项资金。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第四条</w:t>
      </w:r>
      <w:r>
        <w:rPr>
          <w:rFonts w:hint="default" w:ascii="Times New Roman" w:hAnsi="Times New Roman" w:eastAsia="方正仿宋简体" w:cs="Times New Roman"/>
          <w:b/>
          <w:bCs/>
          <w:sz w:val="32"/>
          <w:szCs w:val="32"/>
        </w:rPr>
        <w:t xml:space="preserve">  凡在嘉祥县城区新建、扩建、改建建设项目的单位或个人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以下统称建设单位或个人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均应当按照规定缴纳城市基础设施配套费。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第五条</w:t>
      </w:r>
      <w:r>
        <w:rPr>
          <w:rFonts w:hint="default" w:ascii="Times New Roman" w:hAnsi="Times New Roman" w:eastAsia="方正仿宋简体" w:cs="Times New Roman"/>
          <w:b/>
          <w:bCs/>
          <w:sz w:val="32"/>
          <w:szCs w:val="32"/>
        </w:rPr>
        <w:t xml:space="preserve">  县财政局负责嘉祥县城区城市基础设施配套费管理工作。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县住房和城乡建设局负责嘉祥县城区城市基础设施配套费征收工作。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自然资源和规划、行政审批服务、审计等部门按照各自职责，做好城市基础设施配套费征收使用管理相关工作。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第六条</w:t>
      </w:r>
      <w:r>
        <w:rPr>
          <w:rFonts w:hint="default" w:ascii="Times New Roman" w:hAnsi="Times New Roman" w:eastAsia="方正仿宋简体" w:cs="Times New Roman"/>
          <w:b/>
          <w:bCs/>
          <w:sz w:val="32"/>
          <w:szCs w:val="32"/>
        </w:rPr>
        <w:t xml:space="preserve">  城市基础设施配套费征收</w:t>
      </w:r>
      <w:r>
        <w:rPr>
          <w:rFonts w:hint="default" w:ascii="Times New Roman" w:hAnsi="Times New Roman" w:eastAsia="方正仿宋简体" w:cs="Times New Roman"/>
          <w:b/>
          <w:bCs/>
          <w:color w:val="000000" w:themeColor="text1"/>
          <w:sz w:val="32"/>
          <w:szCs w:val="32"/>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居住、公共建筑等民用建设项目，城市基础设施配套费按照下列标准征收：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1.综合配套费按照建筑面积每平方米128元征收；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2.专项配套费按照建筑面积每平方米71元征收。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（二）工业企业建设项目，城市基础设施配套费按照下列标准征收：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sz w:val="32"/>
          <w:szCs w:val="32"/>
        </w:rPr>
        <w:t>1.生产经</w:t>
      </w:r>
      <w:r>
        <w:rPr>
          <w:rFonts w:hint="default" w:ascii="Times New Roman" w:hAnsi="Times New Roman" w:eastAsia="方正仿宋简体" w:cs="Times New Roman"/>
          <w:b/>
          <w:bCs/>
          <w:color w:val="000000" w:themeColor="text1"/>
          <w:sz w:val="32"/>
          <w:szCs w:val="32"/>
          <w14:textFill>
            <w14:solidFill>
              <w14:schemeClr w14:val="tx1"/>
            </w14:solidFill>
          </w14:textFill>
        </w:rPr>
        <w:t>营性建设项目综合配套费，按照建筑面积每平方米73元征收；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2.非生产经营性建设项目综合配套费，按照建筑面积每方米128元征收。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服务业建设项目，城市综合配套费，按照建筑面积每平方米128元征收。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 xml:space="preserve">第七条 </w:t>
      </w:r>
      <w:r>
        <w:rPr>
          <w:rFonts w:hint="default" w:ascii="Times New Roman" w:hAnsi="Times New Roman" w:eastAsia="方正仿宋简体" w:cs="Times New Roman"/>
          <w:b/>
          <w:bCs/>
          <w:sz w:val="32"/>
          <w:szCs w:val="32"/>
        </w:rPr>
        <w:t xml:space="preserve"> 建设单位或个人应当在领取建筑工程施工许可证时书面承诺城市基础设施配套费缴纳时间。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 xml:space="preserve">第八条 </w:t>
      </w:r>
      <w:r>
        <w:rPr>
          <w:rFonts w:hint="default" w:ascii="Times New Roman" w:hAnsi="Times New Roman" w:eastAsia="方正仿宋简体" w:cs="Times New Roman"/>
          <w:b/>
          <w:bCs/>
          <w:sz w:val="32"/>
          <w:szCs w:val="32"/>
        </w:rPr>
        <w:t xml:space="preserve"> 县住房和城乡建设局征收城市基础设施配套费时，应当向缴款人开具财政部或省级财政部门统一印制</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监制</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的财政票据。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建设单位或个人应当通过山东省非税收入征收管理系统，将城市基础设施配套费缴入县财政。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 xml:space="preserve">第九条 </w:t>
      </w:r>
      <w:r>
        <w:rPr>
          <w:rFonts w:hint="default" w:ascii="Times New Roman" w:hAnsi="Times New Roman" w:eastAsia="方正仿宋简体" w:cs="Times New Roman"/>
          <w:b/>
          <w:bCs/>
          <w:sz w:val="32"/>
          <w:szCs w:val="32"/>
        </w:rPr>
        <w:t xml:space="preserve"> 建设项目非商业用途的地下室、地上储藏室、架空层和附属设施等，不缴纳综合配套费。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建设项目不需要专业经营单位供水、供气、供热、供电的，不缴纳相应专项配套费。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第十条</w:t>
      </w:r>
      <w:r>
        <w:rPr>
          <w:rFonts w:hint="default" w:ascii="Times New Roman" w:hAnsi="Times New Roman" w:eastAsia="方正仿宋简体" w:cs="Times New Roman"/>
          <w:b/>
          <w:bCs/>
          <w:sz w:val="32"/>
          <w:szCs w:val="32"/>
        </w:rPr>
        <w:t xml:space="preserve">  超低能耗被动式建设项目、利用清洁能源方式采暖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包括地源热泵、水源热泵、电能、燃气炉和空气能等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的建设项目，不缴纳供热专项配套费。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方正黑体简体" w:hAnsi="方正黑体简体" w:eastAsia="方正黑体简体" w:cs="方正黑体简体"/>
          <w:b/>
          <w:bCs/>
          <w:sz w:val="32"/>
          <w:szCs w:val="32"/>
        </w:rPr>
        <w:t>第十一条</w:t>
      </w:r>
      <w:r>
        <w:rPr>
          <w:rFonts w:hint="default" w:ascii="Times New Roman" w:hAnsi="Times New Roman" w:eastAsia="方正仿宋简体" w:cs="Times New Roman"/>
          <w:b/>
          <w:bCs/>
          <w:sz w:val="32"/>
          <w:szCs w:val="32"/>
        </w:rPr>
        <w:t xml:space="preserve">  对于免缴综合配</w:t>
      </w:r>
      <w:r>
        <w:rPr>
          <w:rFonts w:hint="default" w:ascii="Times New Roman" w:hAnsi="Times New Roman" w:eastAsia="方正仿宋简体" w:cs="Times New Roman"/>
          <w:b/>
          <w:bCs/>
          <w:color w:val="000000" w:themeColor="text1"/>
          <w:sz w:val="32"/>
          <w:szCs w:val="32"/>
          <w14:textFill>
            <w14:solidFill>
              <w14:schemeClr w14:val="tx1"/>
            </w14:solidFill>
          </w14:textFill>
        </w:rPr>
        <w:t>套费的建设项目，应当按照国家、省有关规定执行。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第十二条</w:t>
      </w:r>
      <w:r>
        <w:rPr>
          <w:rFonts w:hint="default" w:ascii="Times New Roman" w:hAnsi="Times New Roman" w:eastAsia="方正仿宋简体" w:cs="Times New Roman"/>
          <w:b/>
          <w:bCs/>
          <w:sz w:val="32"/>
          <w:szCs w:val="32"/>
        </w:rPr>
        <w:t xml:space="preserve">  已按照本办法规定享受城市基础设施配套费免缴政策的建设项目改变原批准用途的，必须按照本办法规定补缴城市基础设施配套费。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第十三条</w:t>
      </w:r>
      <w:r>
        <w:rPr>
          <w:rFonts w:hint="default" w:ascii="Times New Roman" w:hAnsi="Times New Roman" w:eastAsia="方正仿宋简体" w:cs="Times New Roman"/>
          <w:b/>
          <w:bCs/>
          <w:sz w:val="32"/>
          <w:szCs w:val="32"/>
        </w:rPr>
        <w:t xml:space="preserve">  建设项目增加建筑面积的，建设单位或个人必须按照本办法规定补缴增加建筑面积的城市基础设施配套费。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第十四条</w:t>
      </w:r>
      <w:r>
        <w:rPr>
          <w:rFonts w:hint="default" w:ascii="Times New Roman" w:hAnsi="Times New Roman" w:eastAsia="方正仿宋简体" w:cs="Times New Roman"/>
          <w:b/>
          <w:bCs/>
          <w:sz w:val="32"/>
          <w:szCs w:val="32"/>
        </w:rPr>
        <w:t xml:space="preserve">  城市基础设施配套费纳入县级财政预算，实行年度收支预算管理。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专项配套费按照专款专用的原则，全额用于建设项目红线外专项配套工程建设。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 xml:space="preserve">第十五条 </w:t>
      </w:r>
      <w:r>
        <w:rPr>
          <w:rFonts w:hint="default" w:ascii="Times New Roman" w:hAnsi="Times New Roman" w:eastAsia="方正仿宋简体" w:cs="Times New Roman"/>
          <w:b/>
          <w:bCs/>
          <w:sz w:val="32"/>
          <w:szCs w:val="32"/>
        </w:rPr>
        <w:t xml:space="preserve"> 县住房和城乡建设局应当在每年10月31日前，编制完成下一年度专项配套费使用计划，按照规定程序，报县政府批准后，下达下一年度专项配套费使用计划。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第十六条</w:t>
      </w:r>
      <w:r>
        <w:rPr>
          <w:rFonts w:hint="default" w:ascii="Times New Roman" w:hAnsi="Times New Roman" w:eastAsia="方正仿宋简体" w:cs="Times New Roman"/>
          <w:b/>
          <w:bCs/>
          <w:sz w:val="32"/>
          <w:szCs w:val="32"/>
        </w:rPr>
        <w:t xml:space="preserve"> 建设项目缴纳城市基础设施配套费后，县财政局应当按照下列规定向专业经营单位拨付专项配套费: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自收到专项配套费使用申请之日起20个工作日内，拨付已征收专项配套费的70%;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建设项目红线外供水、供气、供热、供电专项配套工程竣工验收合格，符合接入条件后，自收到专项配套费使用申请之日起20个工作日内，拨付已征收专项配套费的30%。</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r>
        <w:rPr>
          <w:rFonts w:hint="default" w:ascii="方正黑体简体" w:hAnsi="方正黑体简体" w:eastAsia="方正黑体简体" w:cs="方正黑体简体"/>
          <w:b/>
          <w:bCs/>
          <w:sz w:val="32"/>
          <w:szCs w:val="32"/>
        </w:rPr>
        <w:t>第十七条</w:t>
      </w:r>
      <w:r>
        <w:rPr>
          <w:rFonts w:hint="default" w:ascii="Times New Roman" w:hAnsi="Times New Roman" w:eastAsia="方正仿宋简体" w:cs="Times New Roman"/>
          <w:b/>
          <w:bCs/>
          <w:sz w:val="32"/>
          <w:szCs w:val="32"/>
        </w:rPr>
        <w:t xml:space="preserve"> 城市基础设施配套费征收、管理部门，专业经营单位应当建立联席会议制度，定期召开协调会议，研究解决城市基础设施配套费征收、使用、管理工作中的重大问题。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第十八条</w:t>
      </w:r>
      <w:r>
        <w:rPr>
          <w:rFonts w:hint="default" w:ascii="Times New Roman" w:hAnsi="Times New Roman" w:eastAsia="方正仿宋简体" w:cs="Times New Roman"/>
          <w:b/>
          <w:bCs/>
          <w:sz w:val="32"/>
          <w:szCs w:val="32"/>
        </w:rPr>
        <w:t xml:space="preserve"> 自本办法施行之日起，城区的专业经营单位不得向建设单位或个人另行收取红线外供水、供气、供热、供电及相关配套费用。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建设项目城市基础设施配套费和红线内供水、供气、供热、供电相关配套</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含各类计量装置、分户控制系统</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建设费用计入建设成本。房地产开发企业在商品房销售价格外，不得向购房者收取或者以任何名义变相收取供水、供气、供热、供电相关配套</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开口</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第十九条</w:t>
      </w:r>
      <w:r>
        <w:rPr>
          <w:rFonts w:hint="default" w:ascii="Times New Roman" w:hAnsi="Times New Roman" w:eastAsia="方正仿宋简体" w:cs="Times New Roman"/>
          <w:b/>
          <w:bCs/>
          <w:sz w:val="32"/>
          <w:szCs w:val="32"/>
        </w:rPr>
        <w:t xml:space="preserve">  本办法自</w:t>
      </w:r>
      <w:r>
        <w:rPr>
          <w:rFonts w:hint="eastAsia" w:ascii="Times New Roman" w:hAnsi="Times New Roman" w:eastAsia="方正仿宋简体" w:cs="Times New Roman"/>
          <w:b/>
          <w:bCs/>
          <w:sz w:val="32"/>
          <w:szCs w:val="32"/>
          <w:lang w:val="en-US" w:eastAsia="zh-CN"/>
        </w:rPr>
        <w:t>2023</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日起施行，有效期至</w:t>
      </w:r>
      <w:r>
        <w:rPr>
          <w:rFonts w:hint="eastAsia" w:ascii="Times New Roman" w:hAnsi="Times New Roman" w:eastAsia="方正仿宋简体" w:cs="Times New Roman"/>
          <w:b/>
          <w:bCs/>
          <w:sz w:val="32"/>
          <w:szCs w:val="32"/>
          <w:lang w:val="en-US" w:eastAsia="zh-CN"/>
        </w:rPr>
        <w:t>2024</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rPr>
        <w:t>日。《嘉祥县城区城市基础设施配套费征收使用管理暂行办法》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嘉政办发〔2019〕50号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《关于继续执行&lt;嘉祥县城区城市基础设施配套费征收使用管理暂行办法&gt;的通知》（嘉政办字〔2021〕24号）同时废止。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附件:嘉祥县城区城市基础设施配套费征收标准</w:t>
      </w:r>
    </w:p>
    <w:tbl>
      <w:tblPr>
        <w:tblStyle w:val="12"/>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抄送：县委办公室，县人大常委会办公室，县政协办公室，</w:t>
            </w:r>
          </w:p>
          <w:p>
            <w:pPr>
              <w:snapToGrid/>
              <w:spacing w:before="0" w:beforeAutospacing="0" w:after="0" w:afterAutospacing="0" w:line="560" w:lineRule="exact"/>
              <w:ind w:firstLine="964" w:firstLineChars="3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            202</w:t>
            </w:r>
            <w:r>
              <w:rPr>
                <w:rFonts w:hint="eastAsia"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月</w:t>
            </w:r>
            <w:r>
              <w:rPr>
                <w:rFonts w:hint="eastAsia"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日印发</w:t>
            </w:r>
          </w:p>
        </w:tc>
      </w:tr>
    </w:tbl>
    <w:p>
      <w:pPr>
        <w:jc w:val="left"/>
        <w:rPr>
          <w:rFonts w:hint="eastAsia"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rPr>
        <w:t>附件</w:t>
      </w:r>
      <w:r>
        <w:rPr>
          <w:rFonts w:hint="eastAsia" w:ascii="Times New Roman" w:hAnsi="Times New Roman" w:eastAsia="方正黑体简体" w:cs="Times New Roman"/>
          <w:b/>
          <w:bCs/>
          <w:sz w:val="32"/>
          <w:szCs w:val="32"/>
          <w:lang w:eastAsia="zh-CN"/>
        </w:rPr>
        <w:t>：</w:t>
      </w:r>
    </w:p>
    <w:p>
      <w:pPr>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嘉祥县城区城市基础设施配套</w:t>
      </w:r>
      <w:r>
        <w:rPr>
          <w:rFonts w:hint="default" w:ascii="Times New Roman" w:hAnsi="Times New Roman" w:eastAsia="方正小标宋简体" w:cs="Times New Roman"/>
          <w:b/>
          <w:bCs/>
          <w:sz w:val="44"/>
          <w:szCs w:val="44"/>
          <w:lang w:eastAsia="zh-CN"/>
        </w:rPr>
        <w:t>费</w:t>
      </w:r>
      <w:r>
        <w:rPr>
          <w:rFonts w:hint="default" w:ascii="Times New Roman" w:hAnsi="Times New Roman" w:eastAsia="方正小标宋简体" w:cs="Times New Roman"/>
          <w:b/>
          <w:bCs/>
          <w:sz w:val="44"/>
          <w:szCs w:val="44"/>
        </w:rPr>
        <w:t>征收标准</w:t>
      </w:r>
    </w:p>
    <w:tbl>
      <w:tblPr>
        <w:tblStyle w:val="1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28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998" w:type="dxa"/>
            <w:vAlign w:val="center"/>
          </w:tcPr>
          <w:p>
            <w:pPr>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项目</w:t>
            </w:r>
          </w:p>
        </w:tc>
        <w:tc>
          <w:tcPr>
            <w:tcW w:w="2820" w:type="dxa"/>
            <w:vAlign w:val="center"/>
          </w:tcPr>
          <w:p>
            <w:pPr>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县征收标准（元/平方米）</w:t>
            </w:r>
          </w:p>
        </w:tc>
        <w:tc>
          <w:tcPr>
            <w:tcW w:w="2017" w:type="dxa"/>
            <w:vAlign w:val="center"/>
          </w:tcPr>
          <w:p>
            <w:pPr>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一、居住、公共建筑等民用项目</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199</w:t>
            </w: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（一）综合配套费</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128</w:t>
            </w: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（二）专项配套费</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71</w:t>
            </w: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其中：1.供水</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w:t>
            </w: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998" w:type="dxa"/>
            <w:vAlign w:val="center"/>
          </w:tcPr>
          <w:p>
            <w:pPr>
              <w:ind w:firstLine="723" w:firstLineChars="30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2.供气</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w:t>
            </w:r>
          </w:p>
        </w:tc>
        <w:tc>
          <w:tcPr>
            <w:tcW w:w="2017" w:type="dxa"/>
            <w:vAlign w:val="center"/>
          </w:tcPr>
          <w:p>
            <w:pPr>
              <w:spacing w:line="200" w:lineRule="exact"/>
              <w:jc w:val="left"/>
              <w:rPr>
                <w:rFonts w:hint="default" w:ascii="Times New Roman" w:hAnsi="Times New Roman" w:eastAsia="方正仿宋简体" w:cs="Times New Roman"/>
                <w:b/>
                <w:bCs/>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98" w:type="dxa"/>
            <w:vAlign w:val="center"/>
          </w:tcPr>
          <w:p>
            <w:pPr>
              <w:ind w:firstLine="723" w:firstLineChars="30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3.供热</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38</w:t>
            </w:r>
          </w:p>
        </w:tc>
        <w:tc>
          <w:tcPr>
            <w:tcW w:w="2017" w:type="dxa"/>
            <w:vAlign w:val="center"/>
          </w:tcPr>
          <w:p>
            <w:pPr>
              <w:spacing w:line="200" w:lineRule="exact"/>
              <w:jc w:val="left"/>
              <w:rPr>
                <w:rFonts w:hint="default" w:ascii="Times New Roman" w:hAnsi="Times New Roman" w:eastAsia="方正仿宋简体" w:cs="Times New Roman"/>
                <w:b/>
                <w:bCs/>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998" w:type="dxa"/>
            <w:vAlign w:val="center"/>
          </w:tcPr>
          <w:p>
            <w:pPr>
              <w:ind w:firstLine="723" w:firstLineChars="30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4.供电</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w:t>
            </w:r>
          </w:p>
        </w:tc>
        <w:tc>
          <w:tcPr>
            <w:tcW w:w="2017" w:type="dxa"/>
            <w:vAlign w:val="center"/>
          </w:tcPr>
          <w:p>
            <w:pPr>
              <w:spacing w:line="20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含高层双电源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二、工业企业建设项目</w:t>
            </w:r>
          </w:p>
        </w:tc>
        <w:tc>
          <w:tcPr>
            <w:tcW w:w="2820" w:type="dxa"/>
            <w:vAlign w:val="center"/>
          </w:tcPr>
          <w:p>
            <w:pPr>
              <w:jc w:val="center"/>
              <w:rPr>
                <w:rFonts w:hint="default" w:ascii="Times New Roman" w:hAnsi="Times New Roman" w:eastAsia="方正仿宋简体" w:cs="Times New Roman"/>
                <w:b/>
                <w:bCs/>
                <w:sz w:val="24"/>
                <w:szCs w:val="24"/>
              </w:rPr>
            </w:pP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综合配套费</w:t>
            </w:r>
          </w:p>
        </w:tc>
        <w:tc>
          <w:tcPr>
            <w:tcW w:w="2820" w:type="dxa"/>
            <w:vAlign w:val="center"/>
          </w:tcPr>
          <w:p>
            <w:pPr>
              <w:jc w:val="center"/>
              <w:rPr>
                <w:rFonts w:hint="default" w:ascii="Times New Roman" w:hAnsi="Times New Roman" w:eastAsia="方正仿宋简体" w:cs="Times New Roman"/>
                <w:b/>
                <w:bCs/>
                <w:sz w:val="24"/>
                <w:szCs w:val="24"/>
              </w:rPr>
            </w:pP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其中：1.生产经营性综合配套费</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73</w:t>
            </w: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2.非生产经营性综合配套费</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128</w:t>
            </w:r>
          </w:p>
        </w:tc>
        <w:tc>
          <w:tcPr>
            <w:tcW w:w="2017"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三、服务业建设项目</w:t>
            </w:r>
          </w:p>
        </w:tc>
        <w:tc>
          <w:tcPr>
            <w:tcW w:w="2820" w:type="dxa"/>
            <w:vAlign w:val="center"/>
          </w:tcPr>
          <w:p>
            <w:pPr>
              <w:jc w:val="center"/>
              <w:rPr>
                <w:rFonts w:hint="default" w:ascii="Times New Roman" w:hAnsi="Times New Roman" w:eastAsia="方正仿宋简体" w:cs="Times New Roman"/>
                <w:b/>
                <w:bCs/>
                <w:sz w:val="24"/>
                <w:szCs w:val="24"/>
              </w:rPr>
            </w:pPr>
          </w:p>
        </w:tc>
        <w:tc>
          <w:tcPr>
            <w:tcW w:w="2017" w:type="dxa"/>
            <w:vAlign w:val="center"/>
          </w:tcPr>
          <w:p>
            <w:pPr>
              <w:spacing w:line="200" w:lineRule="exact"/>
              <w:jc w:val="left"/>
              <w:rPr>
                <w:rFonts w:hint="default" w:ascii="Times New Roman" w:hAnsi="Times New Roman" w:eastAsia="方正仿宋简体" w:cs="Times New Roman"/>
                <w:b/>
                <w:bCs/>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99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综合配套费</w:t>
            </w:r>
          </w:p>
        </w:tc>
        <w:tc>
          <w:tcPr>
            <w:tcW w:w="282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128</w:t>
            </w:r>
          </w:p>
        </w:tc>
        <w:tc>
          <w:tcPr>
            <w:tcW w:w="2017" w:type="dxa"/>
            <w:vAlign w:val="center"/>
          </w:tcPr>
          <w:p>
            <w:pPr>
              <w:spacing w:line="200" w:lineRule="exact"/>
              <w:jc w:val="left"/>
              <w:rPr>
                <w:rFonts w:hint="default" w:ascii="Times New Roman" w:hAnsi="Times New Roman" w:eastAsia="方正仿宋简体" w:cs="Times New Roman"/>
                <w:b/>
                <w:bCs/>
                <w:strike/>
                <w:sz w:val="24"/>
                <w:szCs w:val="24"/>
              </w:rPr>
            </w:pPr>
          </w:p>
        </w:tc>
      </w:tr>
    </w:tbl>
    <w:p>
      <w:pPr>
        <w:pStyle w:val="2"/>
        <w:ind w:left="0" w:leftChars="0" w:firstLine="0" w:firstLineChars="0"/>
        <w:rPr>
          <w:rFonts w:hint="default"/>
        </w:rPr>
      </w:pPr>
    </w:p>
    <w:p>
      <w:pPr>
        <w:ind w:firstLine="361" w:firstLineChars="200"/>
        <w:rPr>
          <w:rFonts w:hint="default" w:ascii="方正仿宋简体" w:hAnsi="方正仿宋简体" w:eastAsia="方正仿宋简体" w:cs="方正仿宋简体"/>
          <w:b/>
          <w:bCs/>
          <w:sz w:val="18"/>
          <w:szCs w:val="18"/>
          <w:lang w:val="en-US" w:eastAsia="zh-CN"/>
        </w:rPr>
      </w:pPr>
    </w:p>
    <w:sectPr>
      <w:footerReference r:id="rId3" w:type="default"/>
      <w:pgSz w:w="11906" w:h="16838"/>
      <w:pgMar w:top="1814" w:right="1474" w:bottom="147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ZmM5NjM0ZjlkNjBkZGIyYmM0ZTI0MzI5ZTc2ZDMifQ=="/>
  </w:docVars>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0991C49B"/>
    <w:rsid w:val="15FD66D1"/>
    <w:rsid w:val="178E61AA"/>
    <w:rsid w:val="17F64381"/>
    <w:rsid w:val="20242DE1"/>
    <w:rsid w:val="25BD4FF2"/>
    <w:rsid w:val="34AF3283"/>
    <w:rsid w:val="3EF7241B"/>
    <w:rsid w:val="3FAF80D3"/>
    <w:rsid w:val="4E742772"/>
    <w:rsid w:val="4F23680F"/>
    <w:rsid w:val="57F36E7E"/>
    <w:rsid w:val="57FC5EE3"/>
    <w:rsid w:val="5E0F45C4"/>
    <w:rsid w:val="6DFE36F5"/>
    <w:rsid w:val="6E7512D0"/>
    <w:rsid w:val="6F054B6A"/>
    <w:rsid w:val="6FB9F788"/>
    <w:rsid w:val="6FEDF5AF"/>
    <w:rsid w:val="7202027D"/>
    <w:rsid w:val="727868C1"/>
    <w:rsid w:val="7379CE24"/>
    <w:rsid w:val="75B39B8E"/>
    <w:rsid w:val="75B77485"/>
    <w:rsid w:val="764DFC90"/>
    <w:rsid w:val="76FF0EC9"/>
    <w:rsid w:val="777749BD"/>
    <w:rsid w:val="7928629E"/>
    <w:rsid w:val="79FFCD5E"/>
    <w:rsid w:val="7BFB306B"/>
    <w:rsid w:val="7D6F6E62"/>
    <w:rsid w:val="7D8DAA17"/>
    <w:rsid w:val="7EA3A326"/>
    <w:rsid w:val="7ED368F8"/>
    <w:rsid w:val="7F66D619"/>
    <w:rsid w:val="7F7920CB"/>
    <w:rsid w:val="7F7D85AF"/>
    <w:rsid w:val="7FBEB1C7"/>
    <w:rsid w:val="7FE79C05"/>
    <w:rsid w:val="9BDBCF05"/>
    <w:rsid w:val="AFEF9CF6"/>
    <w:rsid w:val="B57D11BA"/>
    <w:rsid w:val="B9FDBD3F"/>
    <w:rsid w:val="BDE3A8D0"/>
    <w:rsid w:val="BE5D091C"/>
    <w:rsid w:val="BEFA4E62"/>
    <w:rsid w:val="BF3A19A3"/>
    <w:rsid w:val="D7AD0609"/>
    <w:rsid w:val="DFAA5FB1"/>
    <w:rsid w:val="DFAEFEED"/>
    <w:rsid w:val="E1FF362B"/>
    <w:rsid w:val="E8F6DE25"/>
    <w:rsid w:val="ECF28B33"/>
    <w:rsid w:val="EFF9FA2F"/>
    <w:rsid w:val="EFFF2C48"/>
    <w:rsid w:val="F5B729BF"/>
    <w:rsid w:val="F7CF8487"/>
    <w:rsid w:val="FB3DF7A2"/>
    <w:rsid w:val="FC75B6CD"/>
    <w:rsid w:val="FDEBEC1C"/>
    <w:rsid w:val="FDFB6BEC"/>
    <w:rsid w:val="FE76CA73"/>
    <w:rsid w:val="FEDD8603"/>
    <w:rsid w:val="FF7FCCEC"/>
    <w:rsid w:val="FF9D4867"/>
    <w:rsid w:val="FF9F4D49"/>
    <w:rsid w:val="FFCC2DA2"/>
    <w:rsid w:val="FFDF8C46"/>
    <w:rsid w:val="FFEE040E"/>
    <w:rsid w:val="FFF3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spacing w:line="560" w:lineRule="exact"/>
      <w:ind w:left="482"/>
    </w:pPr>
    <w:rPr>
      <w:rFonts w:cs="宋体"/>
      <w:sz w:val="24"/>
      <w:szCs w:val="20"/>
    </w:rPr>
  </w:style>
  <w:style w:type="paragraph" w:styleId="3">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0"/>
    <w:pPr>
      <w:spacing w:after="120"/>
    </w:pPr>
  </w:style>
  <w:style w:type="paragraph" w:styleId="5">
    <w:name w:val="Body Text Indent"/>
    <w:basedOn w:val="1"/>
    <w:next w:val="3"/>
    <w:qFormat/>
    <w:uiPriority w:val="0"/>
    <w:pPr>
      <w:spacing w:after="12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paragraph" w:styleId="10">
    <w:name w:val="Body Text First Indent"/>
    <w:basedOn w:val="4"/>
    <w:qFormat/>
    <w:uiPriority w:val="0"/>
    <w:pPr>
      <w:ind w:firstLine="420" w:firstLineChars="100"/>
    </w:pPr>
  </w:style>
  <w:style w:type="paragraph" w:styleId="11">
    <w:name w:val="Body Text First Indent 2"/>
    <w:basedOn w:val="5"/>
    <w:next w:val="10"/>
    <w:semiHidden/>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99"/>
    <w:rPr>
      <w:sz w:val="18"/>
      <w:szCs w:val="18"/>
    </w:rPr>
  </w:style>
  <w:style w:type="character" w:customStyle="1" w:styleId="16">
    <w:name w:val="页脚 字符"/>
    <w:basedOn w:val="14"/>
    <w:link w:val="6"/>
    <w:qFormat/>
    <w:uiPriority w:val="99"/>
    <w:rPr>
      <w:sz w:val="18"/>
      <w:szCs w:val="18"/>
    </w:rPr>
  </w:style>
  <w:style w:type="character" w:customStyle="1" w:styleId="17">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18">
    <w:name w:val="Body text|1"/>
    <w:basedOn w:val="1"/>
    <w:qFormat/>
    <w:uiPriority w:val="0"/>
    <w:pPr>
      <w:widowControl w:val="0"/>
      <w:shd w:val="clear" w:color="auto" w:fill="auto"/>
      <w:spacing w:line="422" w:lineRule="auto"/>
      <w:ind w:firstLine="400"/>
    </w:pPr>
    <w:rPr>
      <w:rFonts w:ascii="宋体" w:hAnsi="宋体" w:eastAsia="宋体" w:cs="宋体"/>
      <w:b/>
      <w:bCs/>
      <w:sz w:val="30"/>
      <w:szCs w:val="30"/>
      <w:u w:val="none"/>
      <w:shd w:val="clear" w:color="auto" w:fill="auto"/>
      <w:lang w:val="zh-TW" w:eastAsia="zh-TW" w:bidi="zh-TW"/>
    </w:rPr>
  </w:style>
  <w:style w:type="character" w:customStyle="1" w:styleId="19">
    <w:name w:val="font01"/>
    <w:basedOn w:val="14"/>
    <w:qFormat/>
    <w:uiPriority w:val="0"/>
    <w:rPr>
      <w:rFonts w:ascii="方正黑体简体" w:hAnsi="方正黑体简体" w:eastAsia="方正黑体简体" w:cs="方正黑体简体"/>
      <w:b/>
      <w:color w:val="000000"/>
      <w:sz w:val="24"/>
      <w:szCs w:val="24"/>
      <w:u w:val="none"/>
    </w:rPr>
  </w:style>
  <w:style w:type="character" w:customStyle="1" w:styleId="20">
    <w:name w:val="font21"/>
    <w:basedOn w:val="14"/>
    <w:qFormat/>
    <w:uiPriority w:val="0"/>
    <w:rPr>
      <w:rFonts w:hint="eastAsia" w:ascii="方正仿宋简体" w:hAnsi="方正仿宋简体" w:eastAsia="方正仿宋简体" w:cs="方正仿宋简体"/>
      <w:b/>
      <w:color w:val="000000"/>
      <w:sz w:val="28"/>
      <w:szCs w:val="28"/>
      <w:u w:val="none"/>
    </w:rPr>
  </w:style>
  <w:style w:type="character" w:customStyle="1" w:styleId="21">
    <w:name w:val="font11"/>
    <w:basedOn w:val="14"/>
    <w:qFormat/>
    <w:uiPriority w:val="0"/>
    <w:rPr>
      <w:rFonts w:hint="default" w:ascii="Times New Roman" w:hAnsi="Times New Roman" w:cs="Times New Roman"/>
      <w:b/>
      <w:color w:val="000000"/>
      <w:sz w:val="28"/>
      <w:szCs w:val="28"/>
      <w:u w:val="none"/>
    </w:rPr>
  </w:style>
  <w:style w:type="character" w:customStyle="1" w:styleId="22">
    <w:name w:val="font61"/>
    <w:basedOn w:val="14"/>
    <w:qFormat/>
    <w:uiPriority w:val="0"/>
    <w:rPr>
      <w:rFonts w:hint="eastAsia" w:ascii="方正仿宋简体" w:hAnsi="方正仿宋简体" w:eastAsia="方正仿宋简体" w:cs="方正仿宋简体"/>
      <w:b/>
      <w:color w:val="000000"/>
      <w:sz w:val="24"/>
      <w:szCs w:val="24"/>
      <w:u w:val="none"/>
    </w:rPr>
  </w:style>
  <w:style w:type="character" w:customStyle="1" w:styleId="23">
    <w:name w:val="font91"/>
    <w:basedOn w:val="14"/>
    <w:qFormat/>
    <w:uiPriority w:val="0"/>
    <w:rPr>
      <w:rFonts w:hint="eastAsia" w:ascii="方正仿宋简体" w:hAnsi="方正仿宋简体" w:eastAsia="方正仿宋简体" w:cs="方正仿宋简体"/>
      <w:b/>
      <w:color w:val="000000"/>
      <w:sz w:val="22"/>
      <w:szCs w:val="22"/>
      <w:u w:val="none"/>
    </w:rPr>
  </w:style>
  <w:style w:type="character" w:customStyle="1" w:styleId="24">
    <w:name w:val="font101"/>
    <w:basedOn w:val="14"/>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2295</Words>
  <Characters>2379</Characters>
  <Lines>15</Lines>
  <Paragraphs>4</Paragraphs>
  <TotalTime>14</TotalTime>
  <ScaleCrop>false</ScaleCrop>
  <LinksUpToDate>false</LinksUpToDate>
  <CharactersWithSpaces>2474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2021-10-21T07:41:00Z</dcterms:created>
  <dc:creator>韩 续</dc:creator>
  <cp:lastModifiedBy>圆不隆董</cp:lastModifiedBy>
  <cp:lastPrinted>2023-03-03T02:26:00Z</cp:lastPrinted>
  <dcterms:modified xsi:type="dcterms:W3CDTF">2023-03-13T02:18:25Z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616ED5C8F9374CA4AFD75A517CEC8BC6</vt:lpwstr>
  </property>
</Properties>
</file>