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20"/>
        <w:jc w:val="center"/>
        <w:rPr>
          <w:rStyle w:val="5"/>
          <w:rFonts w:hint="eastAsia" w:ascii="宋体" w:hAnsi="宋体" w:eastAsia="宋体" w:cs="宋体"/>
          <w:i w:val="0"/>
          <w:caps w:val="0"/>
          <w:color w:val="333333"/>
          <w:spacing w:val="0"/>
          <w:sz w:val="24"/>
          <w:szCs w:val="24"/>
          <w:bdr w:val="none" w:color="auto" w:sz="0" w:space="0"/>
          <w:shd w:val="clear" w:fill="FFFFFF"/>
        </w:rPr>
      </w:pPr>
      <w:r>
        <w:rPr>
          <w:rStyle w:val="5"/>
          <w:rFonts w:hint="eastAsia" w:ascii="宋体" w:hAnsi="宋体" w:eastAsia="宋体" w:cs="宋体"/>
          <w:i w:val="0"/>
          <w:caps w:val="0"/>
          <w:color w:val="333333"/>
          <w:spacing w:val="0"/>
          <w:sz w:val="24"/>
          <w:szCs w:val="24"/>
          <w:bdr w:val="none" w:color="auto" w:sz="0" w:space="0"/>
          <w:shd w:val="clear" w:fill="FFFFFF"/>
        </w:rPr>
        <w:t>嘉祥县民政局2020年政府信息公开工作年度报告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20"/>
        <w:jc w:val="both"/>
        <w:rPr>
          <w:rStyle w:val="5"/>
          <w:rFonts w:hint="eastAsia" w:ascii="宋体" w:hAnsi="宋体" w:eastAsia="宋体" w:cs="宋体"/>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20"/>
        <w:jc w:val="both"/>
        <w:rPr>
          <w:rFonts w:ascii="微软雅黑" w:hAnsi="微软雅黑" w:eastAsia="微软雅黑" w:cs="微软雅黑"/>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根据《中华人民共和国政府信息公开条例》（以下简称《条例》）、《山东省政府信息公开办法》(以下简称《办法》）要求，结合嘉祥县民政局工作实际，特向社会公布2020年度嘉祥县民政局信息公开年度报告。本报告所列数据的统计期限自2020年1月1日起</w:t>
      </w:r>
      <w:bookmarkStart w:id="0" w:name="_GoBack"/>
      <w:bookmarkEnd w:id="0"/>
      <w:r>
        <w:rPr>
          <w:rFonts w:hint="eastAsia" w:ascii="宋体" w:hAnsi="宋体" w:eastAsia="宋体" w:cs="宋体"/>
          <w:i w:val="0"/>
          <w:caps w:val="0"/>
          <w:color w:val="333333"/>
          <w:spacing w:val="0"/>
          <w:sz w:val="24"/>
          <w:szCs w:val="24"/>
          <w:bdr w:val="none" w:color="auto" w:sz="0" w:space="0"/>
          <w:shd w:val="clear" w:fill="FFFFFF"/>
        </w:rPr>
        <w:t>至2020年12月31日止。本报告的电子版可在“中国嘉祥”政府门户网站（http://www.jiaxiang.gov.cn/）下载。如对本报告有任何疑问，请与嘉祥县民政局联系（地址：嘉祥县为民服务中心12楼；电话：0537-6987288；传真：0537-6987204；邮箱：jxxmzjbgs@ji.shandong.c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加强组织领导。及时调整健全政府信息与政务公开机构领导小组和作人员，使政务公开工作畅通运作。完善了局长负总责亲自抓、分管局长靠上抓、局机关科室和局属单位负责人具体抓的工作体制，明确1名班子成员具体分管、1名工作人员具体负责。制定本单位推行政务公开工作计划和工作措施，并抓好工作落实，切实提高了民政工作的透明度和行政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主动公开政府信息。2020年，嘉祥县民政局按照紧紧围绕县委县政府中心工作，认真贯彻实施《条例》，认真贯彻实施相关要求和部署，继续把政府信息公开作为一项重要的常规工作来抓，夯实政府信息公开工作基础，拓展公开渠道，创新公开方式，加大公开力度，确保政府信息公开工作制度化、规范化和程序化。2020年发布政府信息公开121条，其中民政局门户网站主动公开政府信息116条，通过报刊、微信等媒体发布信息5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50" w:lineRule="atLeast"/>
        <w:ind w:left="0" w:right="0" w:firstLine="420"/>
        <w:jc w:val="both"/>
        <w:rPr>
          <w:rFonts w:hint="eastAsia" w:ascii="微软雅黑" w:hAnsi="微软雅黑" w:eastAsia="微软雅黑" w:cs="微软雅黑"/>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二、主动公开政府信息情况</w:t>
      </w:r>
    </w:p>
    <w:tbl>
      <w:tblPr>
        <w:tblW w:w="8145" w:type="dxa"/>
        <w:jc w:val="center"/>
        <w:tblCellSpacing w:w="0" w:type="dxa"/>
        <w:shd w:val="clear"/>
        <w:tblLayout w:type="autofit"/>
        <w:tblCellMar>
          <w:top w:w="0" w:type="dxa"/>
          <w:left w:w="0" w:type="dxa"/>
          <w:bottom w:w="0" w:type="dxa"/>
          <w:right w:w="0" w:type="dxa"/>
        </w:tblCellMar>
      </w:tblPr>
      <w:tblGrid>
        <w:gridCol w:w="3120"/>
        <w:gridCol w:w="1875"/>
        <w:gridCol w:w="1275"/>
        <w:gridCol w:w="1875"/>
      </w:tblGrid>
      <w:tr>
        <w:tblPrEx>
          <w:shd w:val="clear"/>
          <w:tblCellMar>
            <w:top w:w="0" w:type="dxa"/>
            <w:left w:w="0" w:type="dxa"/>
            <w:bottom w:w="0" w:type="dxa"/>
            <w:right w:w="0" w:type="dxa"/>
          </w:tblCellMar>
        </w:tblPrEx>
        <w:trPr>
          <w:trHeight w:val="495" w:hRule="atLeast"/>
          <w:tblCellSpacing w:w="0" w:type="dxa"/>
          <w:jc w:val="center"/>
        </w:trPr>
        <w:tc>
          <w:tcPr>
            <w:tcW w:w="8145" w:type="dxa"/>
            <w:gridSpan w:val="4"/>
            <w:tcBorders>
              <w:top w:val="single" w:color="auto" w:sz="6" w:space="0"/>
              <w:left w:val="single" w:color="auto" w:sz="6" w:space="0"/>
              <w:bottom w:val="single" w:color="auto" w:sz="6" w:space="0"/>
              <w:right w:val="single" w:color="auto" w:sz="6" w:space="0"/>
            </w:tcBorders>
            <w:shd w:val="clear" w:color="auto" w:fill="C6D9F1"/>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第二十条第（一）项</w:t>
            </w:r>
          </w:p>
        </w:tc>
      </w:tr>
      <w:tr>
        <w:tblPrEx>
          <w:tblCellMar>
            <w:top w:w="0" w:type="dxa"/>
            <w:left w:w="0" w:type="dxa"/>
            <w:bottom w:w="0" w:type="dxa"/>
            <w:right w:w="0" w:type="dxa"/>
          </w:tblCellMar>
        </w:tblPrEx>
        <w:trPr>
          <w:trHeight w:val="885" w:hRule="atLeast"/>
          <w:tblCellSpacing w:w="0" w:type="dxa"/>
          <w:jc w:val="center"/>
        </w:trPr>
        <w:tc>
          <w:tcPr>
            <w:tcW w:w="312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信息内容</w:t>
            </w:r>
          </w:p>
        </w:tc>
        <w:tc>
          <w:tcPr>
            <w:tcW w:w="187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本年新</w:t>
            </w:r>
            <w:r>
              <w:rPr>
                <w:rFonts w:hint="eastAsia" w:ascii="宋体" w:hAnsi="宋体" w:eastAsia="宋体" w:cs="宋体"/>
                <w:color w:val="333333"/>
                <w:sz w:val="19"/>
                <w:szCs w:val="19"/>
                <w:bdr w:val="none" w:color="auto" w:sz="0" w:space="0"/>
              </w:rPr>
              <w:br w:type="textWrapping"/>
            </w:r>
            <w:r>
              <w:rPr>
                <w:rFonts w:ascii="Calibri" w:hAnsi="Calibri" w:cs="Calibri"/>
                <w:color w:val="333333"/>
                <w:sz w:val="19"/>
                <w:szCs w:val="19"/>
                <w:bdr w:val="none" w:color="auto" w:sz="0" w:space="0"/>
              </w:rPr>
              <w:t>制作数量</w:t>
            </w:r>
          </w:p>
        </w:tc>
        <w:tc>
          <w:tcPr>
            <w:tcW w:w="127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本年新</w:t>
            </w:r>
            <w:r>
              <w:rPr>
                <w:rFonts w:hint="eastAsia" w:ascii="宋体" w:hAnsi="宋体" w:eastAsia="宋体" w:cs="宋体"/>
                <w:color w:val="333333"/>
                <w:sz w:val="19"/>
                <w:szCs w:val="19"/>
                <w:bdr w:val="none" w:color="auto" w:sz="0" w:space="0"/>
              </w:rPr>
              <w:br w:type="textWrapping"/>
            </w:r>
            <w:r>
              <w:rPr>
                <w:rFonts w:hint="default" w:ascii="Calibri" w:hAnsi="Calibri" w:cs="Calibri"/>
                <w:color w:val="333333"/>
                <w:sz w:val="19"/>
                <w:szCs w:val="19"/>
                <w:bdr w:val="none" w:color="auto" w:sz="0" w:space="0"/>
              </w:rPr>
              <w:t>公开数量</w:t>
            </w:r>
          </w:p>
        </w:tc>
        <w:tc>
          <w:tcPr>
            <w:tcW w:w="18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对外公开总数量</w:t>
            </w:r>
          </w:p>
        </w:tc>
      </w:tr>
      <w:tr>
        <w:tblPrEx>
          <w:tblCellMar>
            <w:top w:w="0" w:type="dxa"/>
            <w:left w:w="0" w:type="dxa"/>
            <w:bottom w:w="0" w:type="dxa"/>
            <w:right w:w="0" w:type="dxa"/>
          </w:tblCellMar>
        </w:tblPrEx>
        <w:trPr>
          <w:trHeight w:val="525" w:hRule="atLeast"/>
          <w:tblCellSpacing w:w="0" w:type="dxa"/>
          <w:jc w:val="center"/>
        </w:trPr>
        <w:tc>
          <w:tcPr>
            <w:tcW w:w="312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rFonts w:hint="eastAsia" w:ascii="宋体" w:hAnsi="宋体" w:eastAsia="宋体" w:cs="宋体"/>
                <w:color w:val="333333"/>
                <w:sz w:val="19"/>
                <w:szCs w:val="19"/>
                <w:bdr w:val="none" w:color="auto" w:sz="0" w:space="0"/>
              </w:rPr>
              <w:t>规章</w:t>
            </w:r>
          </w:p>
        </w:tc>
        <w:tc>
          <w:tcPr>
            <w:tcW w:w="18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color w:val="333333"/>
                <w:sz w:val="21"/>
                <w:szCs w:val="21"/>
                <w:bdr w:val="none" w:color="auto" w:sz="0" w:space="0"/>
              </w:rPr>
              <w:t>　　</w:t>
            </w:r>
            <w:r>
              <w:rPr>
                <w:rFonts w:hint="eastAsia" w:ascii="宋体" w:hAnsi="宋体" w:eastAsia="宋体" w:cs="宋体"/>
                <w:color w:val="333333"/>
                <w:sz w:val="19"/>
                <w:szCs w:val="19"/>
                <w:bdr w:val="none" w:color="auto" w:sz="0" w:space="0"/>
              </w:rPr>
              <w:t>0</w:t>
            </w:r>
          </w:p>
        </w:tc>
        <w:tc>
          <w:tcPr>
            <w:tcW w:w="12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rFonts w:hint="eastAsia" w:ascii="宋体" w:hAnsi="宋体" w:eastAsia="宋体" w:cs="宋体"/>
                <w:color w:val="333333"/>
                <w:sz w:val="19"/>
                <w:szCs w:val="19"/>
                <w:bdr w:val="none" w:color="auto" w:sz="0" w:space="0"/>
              </w:rPr>
              <w:t> 0</w:t>
            </w:r>
          </w:p>
        </w:tc>
        <w:tc>
          <w:tcPr>
            <w:tcW w:w="18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color w:val="333333"/>
                <w:sz w:val="21"/>
                <w:szCs w:val="21"/>
                <w:bdr w:val="none" w:color="auto" w:sz="0" w:space="0"/>
              </w:rPr>
              <w:t>　</w:t>
            </w:r>
            <w:r>
              <w:rPr>
                <w:rFonts w:hint="eastAsia" w:ascii="宋体" w:hAnsi="宋体" w:eastAsia="宋体" w:cs="宋体"/>
                <w:color w:val="333333"/>
                <w:sz w:val="19"/>
                <w:szCs w:val="19"/>
                <w:bdr w:val="none" w:color="auto" w:sz="0" w:space="0"/>
              </w:rPr>
              <w:t>0</w:t>
            </w:r>
          </w:p>
        </w:tc>
      </w:tr>
      <w:tr>
        <w:tblPrEx>
          <w:tblCellMar>
            <w:top w:w="0" w:type="dxa"/>
            <w:left w:w="0" w:type="dxa"/>
            <w:bottom w:w="0" w:type="dxa"/>
            <w:right w:w="0" w:type="dxa"/>
          </w:tblCellMar>
        </w:tblPrEx>
        <w:trPr>
          <w:trHeight w:val="465" w:hRule="atLeast"/>
          <w:tblCellSpacing w:w="0" w:type="dxa"/>
          <w:jc w:val="center"/>
        </w:trPr>
        <w:tc>
          <w:tcPr>
            <w:tcW w:w="312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rFonts w:hint="eastAsia" w:ascii="宋体" w:hAnsi="宋体" w:eastAsia="宋体" w:cs="宋体"/>
                <w:color w:val="333333"/>
                <w:sz w:val="19"/>
                <w:szCs w:val="19"/>
                <w:bdr w:val="none" w:color="auto" w:sz="0" w:space="0"/>
              </w:rPr>
              <w:t>规范性文件</w:t>
            </w:r>
          </w:p>
        </w:tc>
        <w:tc>
          <w:tcPr>
            <w:tcW w:w="18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color w:val="333333"/>
                <w:sz w:val="21"/>
                <w:szCs w:val="21"/>
                <w:bdr w:val="none" w:color="auto" w:sz="0" w:space="0"/>
              </w:rPr>
              <w:t>　　</w:t>
            </w:r>
            <w:r>
              <w:rPr>
                <w:rFonts w:hint="eastAsia" w:ascii="宋体" w:hAnsi="宋体" w:eastAsia="宋体" w:cs="宋体"/>
                <w:color w:val="333333"/>
                <w:sz w:val="19"/>
                <w:szCs w:val="19"/>
                <w:bdr w:val="none" w:color="auto" w:sz="0" w:space="0"/>
              </w:rPr>
              <w:t>3</w:t>
            </w:r>
          </w:p>
        </w:tc>
        <w:tc>
          <w:tcPr>
            <w:tcW w:w="12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rFonts w:hint="eastAsia" w:ascii="宋体" w:hAnsi="宋体" w:eastAsia="宋体" w:cs="宋体"/>
                <w:color w:val="333333"/>
                <w:sz w:val="19"/>
                <w:szCs w:val="19"/>
                <w:bdr w:val="none" w:color="auto" w:sz="0" w:space="0"/>
              </w:rPr>
              <w:t> 3</w:t>
            </w:r>
          </w:p>
        </w:tc>
        <w:tc>
          <w:tcPr>
            <w:tcW w:w="18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color w:val="333333"/>
                <w:sz w:val="21"/>
                <w:szCs w:val="21"/>
                <w:bdr w:val="none" w:color="auto" w:sz="0" w:space="0"/>
              </w:rPr>
              <w:t>　</w:t>
            </w:r>
            <w:r>
              <w:rPr>
                <w:rFonts w:hint="eastAsia" w:ascii="宋体" w:hAnsi="宋体" w:eastAsia="宋体" w:cs="宋体"/>
                <w:color w:val="333333"/>
                <w:sz w:val="19"/>
                <w:szCs w:val="19"/>
                <w:bdr w:val="none" w:color="auto" w:sz="0" w:space="0"/>
              </w:rPr>
              <w:t>3</w:t>
            </w:r>
          </w:p>
        </w:tc>
      </w:tr>
      <w:tr>
        <w:tblPrEx>
          <w:shd w:val="clear"/>
          <w:tblCellMar>
            <w:top w:w="0" w:type="dxa"/>
            <w:left w:w="0" w:type="dxa"/>
            <w:bottom w:w="0" w:type="dxa"/>
            <w:right w:w="0" w:type="dxa"/>
          </w:tblCellMar>
        </w:tblPrEx>
        <w:trPr>
          <w:trHeight w:val="480" w:hRule="atLeast"/>
          <w:tblCellSpacing w:w="0" w:type="dxa"/>
          <w:jc w:val="center"/>
        </w:trPr>
        <w:tc>
          <w:tcPr>
            <w:tcW w:w="8145" w:type="dxa"/>
            <w:gridSpan w:val="4"/>
            <w:tcBorders>
              <w:top w:val="nil"/>
              <w:left w:val="single" w:color="auto" w:sz="6" w:space="0"/>
              <w:bottom w:val="single" w:color="auto" w:sz="6" w:space="0"/>
              <w:right w:val="single" w:color="auto" w:sz="6" w:space="0"/>
            </w:tcBorders>
            <w:shd w:val="clear" w:color="auto" w:fill="C6D9F1"/>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第二十条第（五）项</w:t>
            </w:r>
          </w:p>
        </w:tc>
      </w:tr>
      <w:tr>
        <w:tblPrEx>
          <w:tblCellMar>
            <w:top w:w="0" w:type="dxa"/>
            <w:left w:w="0" w:type="dxa"/>
            <w:bottom w:w="0" w:type="dxa"/>
            <w:right w:w="0" w:type="dxa"/>
          </w:tblCellMar>
        </w:tblPrEx>
        <w:trPr>
          <w:trHeight w:val="630" w:hRule="atLeast"/>
          <w:tblCellSpacing w:w="0" w:type="dxa"/>
          <w:jc w:val="center"/>
        </w:trPr>
        <w:tc>
          <w:tcPr>
            <w:tcW w:w="312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信息内容</w:t>
            </w:r>
          </w:p>
        </w:tc>
        <w:tc>
          <w:tcPr>
            <w:tcW w:w="187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上一年项目数量</w:t>
            </w:r>
          </w:p>
        </w:tc>
        <w:tc>
          <w:tcPr>
            <w:tcW w:w="127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本年增/减</w:t>
            </w:r>
          </w:p>
        </w:tc>
        <w:tc>
          <w:tcPr>
            <w:tcW w:w="18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处理决定数量</w:t>
            </w:r>
          </w:p>
        </w:tc>
      </w:tr>
      <w:tr>
        <w:tblPrEx>
          <w:tblCellMar>
            <w:top w:w="0" w:type="dxa"/>
            <w:left w:w="0" w:type="dxa"/>
            <w:bottom w:w="0" w:type="dxa"/>
            <w:right w:w="0" w:type="dxa"/>
          </w:tblCellMar>
        </w:tblPrEx>
        <w:trPr>
          <w:trHeight w:val="525" w:hRule="atLeast"/>
          <w:tblCellSpacing w:w="0" w:type="dxa"/>
          <w:jc w:val="center"/>
        </w:trPr>
        <w:tc>
          <w:tcPr>
            <w:tcW w:w="312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rFonts w:hint="eastAsia" w:ascii="宋体" w:hAnsi="宋体" w:eastAsia="宋体" w:cs="宋体"/>
                <w:color w:val="333333"/>
                <w:sz w:val="19"/>
                <w:szCs w:val="19"/>
                <w:bdr w:val="none" w:color="auto" w:sz="0" w:space="0"/>
              </w:rPr>
              <w:t>行政许可</w:t>
            </w:r>
          </w:p>
        </w:tc>
        <w:tc>
          <w:tcPr>
            <w:tcW w:w="18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color w:val="333333"/>
                <w:sz w:val="21"/>
                <w:szCs w:val="21"/>
                <w:bdr w:val="none" w:color="auto" w:sz="0" w:space="0"/>
              </w:rPr>
              <w:t>　</w:t>
            </w:r>
            <w:r>
              <w:rPr>
                <w:rFonts w:hint="eastAsia" w:ascii="宋体" w:hAnsi="宋体" w:eastAsia="宋体" w:cs="宋体"/>
                <w:color w:val="333333"/>
                <w:sz w:val="19"/>
                <w:szCs w:val="19"/>
                <w:bdr w:val="none" w:color="auto" w:sz="0" w:space="0"/>
              </w:rPr>
              <w:t>0</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rFonts w:hint="eastAsia" w:ascii="宋体" w:hAnsi="宋体" w:eastAsia="宋体" w:cs="宋体"/>
                <w:color w:val="333333"/>
                <w:sz w:val="19"/>
                <w:szCs w:val="19"/>
                <w:bdr w:val="none" w:color="auto" w:sz="0" w:space="0"/>
              </w:rPr>
              <w:t>0</w:t>
            </w:r>
          </w:p>
        </w:tc>
        <w:tc>
          <w:tcPr>
            <w:tcW w:w="18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rFonts w:hint="eastAsia" w:ascii="宋体" w:hAnsi="宋体" w:eastAsia="宋体" w:cs="宋体"/>
                <w:color w:val="333333"/>
                <w:sz w:val="19"/>
                <w:szCs w:val="19"/>
                <w:bdr w:val="none" w:color="auto" w:sz="0" w:space="0"/>
              </w:rPr>
              <w:t>0</w:t>
            </w:r>
            <w:r>
              <w:rPr>
                <w:color w:val="333333"/>
                <w:sz w:val="21"/>
                <w:szCs w:val="21"/>
                <w:bdr w:val="none" w:color="auto" w:sz="0" w:space="0"/>
              </w:rPr>
              <w:t>　</w:t>
            </w:r>
          </w:p>
        </w:tc>
      </w:tr>
      <w:tr>
        <w:tblPrEx>
          <w:tblCellMar>
            <w:top w:w="0" w:type="dxa"/>
            <w:left w:w="0" w:type="dxa"/>
            <w:bottom w:w="0" w:type="dxa"/>
            <w:right w:w="0" w:type="dxa"/>
          </w:tblCellMar>
        </w:tblPrEx>
        <w:trPr>
          <w:trHeight w:val="555" w:hRule="atLeast"/>
          <w:tblCellSpacing w:w="0" w:type="dxa"/>
          <w:jc w:val="center"/>
        </w:trPr>
        <w:tc>
          <w:tcPr>
            <w:tcW w:w="312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rFonts w:hint="eastAsia" w:ascii="宋体" w:hAnsi="宋体" w:eastAsia="宋体" w:cs="宋体"/>
                <w:color w:val="333333"/>
                <w:sz w:val="19"/>
                <w:szCs w:val="19"/>
                <w:bdr w:val="none" w:color="auto" w:sz="0" w:space="0"/>
              </w:rPr>
              <w:t>其他对外管理服务事项</w:t>
            </w:r>
          </w:p>
        </w:tc>
        <w:tc>
          <w:tcPr>
            <w:tcW w:w="18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color w:val="333333"/>
                <w:sz w:val="21"/>
                <w:szCs w:val="21"/>
                <w:bdr w:val="none" w:color="auto" w:sz="0" w:space="0"/>
              </w:rPr>
              <w:t>　</w:t>
            </w:r>
            <w:r>
              <w:rPr>
                <w:rFonts w:hint="eastAsia" w:ascii="宋体" w:hAnsi="宋体" w:eastAsia="宋体" w:cs="宋体"/>
                <w:color w:val="333333"/>
                <w:sz w:val="19"/>
                <w:szCs w:val="19"/>
                <w:bdr w:val="none" w:color="auto" w:sz="0" w:space="0"/>
              </w:rPr>
              <w:t>0</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rFonts w:hint="eastAsia" w:ascii="宋体" w:hAnsi="宋体" w:eastAsia="宋体" w:cs="宋体"/>
                <w:color w:val="333333"/>
                <w:sz w:val="19"/>
                <w:szCs w:val="19"/>
                <w:bdr w:val="none" w:color="auto" w:sz="0" w:space="0"/>
              </w:rPr>
              <w:t>0</w:t>
            </w:r>
            <w:r>
              <w:rPr>
                <w:color w:val="333333"/>
                <w:sz w:val="21"/>
                <w:szCs w:val="21"/>
                <w:bdr w:val="none" w:color="auto" w:sz="0" w:space="0"/>
              </w:rPr>
              <w:t>　</w:t>
            </w:r>
          </w:p>
        </w:tc>
        <w:tc>
          <w:tcPr>
            <w:tcW w:w="18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rFonts w:hint="eastAsia" w:ascii="宋体" w:hAnsi="宋体" w:eastAsia="宋体" w:cs="宋体"/>
                <w:color w:val="333333"/>
                <w:sz w:val="19"/>
                <w:szCs w:val="19"/>
                <w:bdr w:val="none" w:color="auto" w:sz="0" w:space="0"/>
              </w:rPr>
              <w:t>0</w:t>
            </w:r>
          </w:p>
        </w:tc>
      </w:tr>
      <w:tr>
        <w:tblPrEx>
          <w:tblCellMar>
            <w:top w:w="0" w:type="dxa"/>
            <w:left w:w="0" w:type="dxa"/>
            <w:bottom w:w="0" w:type="dxa"/>
            <w:right w:w="0" w:type="dxa"/>
          </w:tblCellMar>
        </w:tblPrEx>
        <w:trPr>
          <w:trHeight w:val="405" w:hRule="atLeast"/>
          <w:tblCellSpacing w:w="0" w:type="dxa"/>
          <w:jc w:val="center"/>
        </w:trPr>
        <w:tc>
          <w:tcPr>
            <w:tcW w:w="8145" w:type="dxa"/>
            <w:gridSpan w:val="4"/>
            <w:tcBorders>
              <w:top w:val="nil"/>
              <w:left w:val="single" w:color="auto" w:sz="6" w:space="0"/>
              <w:bottom w:val="single" w:color="auto" w:sz="6" w:space="0"/>
              <w:right w:val="single" w:color="auto" w:sz="6" w:space="0"/>
            </w:tcBorders>
            <w:shd w:val="clear" w:color="auto" w:fill="C6D9F1"/>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第二十条第（六）项</w:t>
            </w:r>
          </w:p>
        </w:tc>
      </w:tr>
      <w:tr>
        <w:tblPrEx>
          <w:tblCellMar>
            <w:top w:w="0" w:type="dxa"/>
            <w:left w:w="0" w:type="dxa"/>
            <w:bottom w:w="0" w:type="dxa"/>
            <w:right w:w="0" w:type="dxa"/>
          </w:tblCellMar>
        </w:tblPrEx>
        <w:trPr>
          <w:trHeight w:val="630" w:hRule="atLeast"/>
          <w:tblCellSpacing w:w="0" w:type="dxa"/>
          <w:jc w:val="center"/>
        </w:trPr>
        <w:tc>
          <w:tcPr>
            <w:tcW w:w="312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信息内容</w:t>
            </w:r>
          </w:p>
        </w:tc>
        <w:tc>
          <w:tcPr>
            <w:tcW w:w="187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上一年项目数量</w:t>
            </w:r>
          </w:p>
        </w:tc>
        <w:tc>
          <w:tcPr>
            <w:tcW w:w="127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本年增/减</w:t>
            </w:r>
          </w:p>
        </w:tc>
        <w:tc>
          <w:tcPr>
            <w:tcW w:w="18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处理决定数量</w:t>
            </w:r>
          </w:p>
        </w:tc>
      </w:tr>
      <w:tr>
        <w:tblPrEx>
          <w:tblCellMar>
            <w:top w:w="0" w:type="dxa"/>
            <w:left w:w="0" w:type="dxa"/>
            <w:bottom w:w="0" w:type="dxa"/>
            <w:right w:w="0" w:type="dxa"/>
          </w:tblCellMar>
        </w:tblPrEx>
        <w:trPr>
          <w:trHeight w:val="435" w:hRule="atLeast"/>
          <w:tblCellSpacing w:w="0" w:type="dxa"/>
          <w:jc w:val="center"/>
        </w:trPr>
        <w:tc>
          <w:tcPr>
            <w:tcW w:w="312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rFonts w:hint="eastAsia" w:ascii="宋体" w:hAnsi="宋体" w:eastAsia="宋体" w:cs="宋体"/>
                <w:color w:val="333333"/>
                <w:sz w:val="19"/>
                <w:szCs w:val="19"/>
                <w:bdr w:val="none" w:color="auto" w:sz="0" w:space="0"/>
              </w:rPr>
              <w:t>行政处罚</w:t>
            </w:r>
          </w:p>
        </w:tc>
        <w:tc>
          <w:tcPr>
            <w:tcW w:w="18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color w:val="333333"/>
                <w:sz w:val="21"/>
                <w:szCs w:val="21"/>
                <w:bdr w:val="none" w:color="auto" w:sz="0" w:space="0"/>
              </w:rPr>
              <w:t>　</w:t>
            </w:r>
            <w:r>
              <w:rPr>
                <w:rFonts w:hint="eastAsia" w:ascii="宋体" w:hAnsi="宋体" w:eastAsia="宋体" w:cs="宋体"/>
                <w:color w:val="333333"/>
                <w:sz w:val="19"/>
                <w:szCs w:val="19"/>
                <w:bdr w:val="none" w:color="auto" w:sz="0" w:space="0"/>
              </w:rPr>
              <w:t>1</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color w:val="333333"/>
                <w:sz w:val="21"/>
                <w:szCs w:val="21"/>
                <w:bdr w:val="none" w:color="auto" w:sz="0" w:space="0"/>
              </w:rPr>
              <w:t>　</w:t>
            </w:r>
            <w:r>
              <w:rPr>
                <w:rFonts w:hint="eastAsia" w:ascii="宋体" w:hAnsi="宋体" w:eastAsia="宋体" w:cs="宋体"/>
                <w:color w:val="333333"/>
                <w:sz w:val="19"/>
                <w:szCs w:val="19"/>
                <w:bdr w:val="none" w:color="auto" w:sz="0" w:space="0"/>
              </w:rPr>
              <w:t>1</w:t>
            </w:r>
          </w:p>
        </w:tc>
        <w:tc>
          <w:tcPr>
            <w:tcW w:w="18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color w:val="333333"/>
                <w:sz w:val="21"/>
                <w:szCs w:val="21"/>
                <w:bdr w:val="none" w:color="auto" w:sz="0" w:space="0"/>
              </w:rPr>
              <w:t>　</w:t>
            </w:r>
            <w:r>
              <w:rPr>
                <w:rFonts w:hint="eastAsia" w:ascii="宋体" w:hAnsi="宋体" w:eastAsia="宋体" w:cs="宋体"/>
                <w:color w:val="333333"/>
                <w:sz w:val="19"/>
                <w:szCs w:val="19"/>
                <w:bdr w:val="none" w:color="auto" w:sz="0" w:space="0"/>
              </w:rPr>
              <w:t>1</w:t>
            </w:r>
          </w:p>
        </w:tc>
      </w:tr>
      <w:tr>
        <w:tblPrEx>
          <w:tblCellMar>
            <w:top w:w="0" w:type="dxa"/>
            <w:left w:w="0" w:type="dxa"/>
            <w:bottom w:w="0" w:type="dxa"/>
            <w:right w:w="0" w:type="dxa"/>
          </w:tblCellMar>
        </w:tblPrEx>
        <w:trPr>
          <w:trHeight w:val="405" w:hRule="atLeast"/>
          <w:tblCellSpacing w:w="0" w:type="dxa"/>
          <w:jc w:val="center"/>
        </w:trPr>
        <w:tc>
          <w:tcPr>
            <w:tcW w:w="312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rFonts w:hint="eastAsia" w:ascii="宋体" w:hAnsi="宋体" w:eastAsia="宋体" w:cs="宋体"/>
                <w:color w:val="333333"/>
                <w:sz w:val="19"/>
                <w:szCs w:val="19"/>
                <w:bdr w:val="none" w:color="auto" w:sz="0" w:space="0"/>
              </w:rPr>
              <w:t>行政强制</w:t>
            </w:r>
          </w:p>
        </w:tc>
        <w:tc>
          <w:tcPr>
            <w:tcW w:w="18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color w:val="333333"/>
                <w:sz w:val="21"/>
                <w:szCs w:val="21"/>
                <w:bdr w:val="none" w:color="auto" w:sz="0" w:space="0"/>
              </w:rPr>
              <w:t>　</w:t>
            </w:r>
            <w:r>
              <w:rPr>
                <w:rFonts w:hint="eastAsia" w:ascii="宋体" w:hAnsi="宋体" w:eastAsia="宋体" w:cs="宋体"/>
                <w:color w:val="333333"/>
                <w:sz w:val="19"/>
                <w:szCs w:val="19"/>
                <w:bdr w:val="none" w:color="auto" w:sz="0" w:space="0"/>
              </w:rPr>
              <w:t>0</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color w:val="333333"/>
                <w:sz w:val="21"/>
                <w:szCs w:val="21"/>
                <w:bdr w:val="none" w:color="auto" w:sz="0" w:space="0"/>
              </w:rPr>
              <w:t>　</w:t>
            </w:r>
            <w:r>
              <w:rPr>
                <w:rFonts w:hint="eastAsia" w:ascii="宋体" w:hAnsi="宋体" w:eastAsia="宋体" w:cs="宋体"/>
                <w:color w:val="333333"/>
                <w:sz w:val="19"/>
                <w:szCs w:val="19"/>
                <w:bdr w:val="none" w:color="auto" w:sz="0" w:space="0"/>
              </w:rPr>
              <w:t>0</w:t>
            </w:r>
          </w:p>
        </w:tc>
        <w:tc>
          <w:tcPr>
            <w:tcW w:w="18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color w:val="333333"/>
                <w:sz w:val="21"/>
                <w:szCs w:val="21"/>
                <w:bdr w:val="none" w:color="auto" w:sz="0" w:space="0"/>
              </w:rPr>
              <w:t>　</w:t>
            </w:r>
            <w:r>
              <w:rPr>
                <w:rFonts w:hint="eastAsia" w:ascii="宋体" w:hAnsi="宋体" w:eastAsia="宋体" w:cs="宋体"/>
                <w:color w:val="333333"/>
                <w:sz w:val="19"/>
                <w:szCs w:val="19"/>
                <w:bdr w:val="none" w:color="auto" w:sz="0" w:space="0"/>
              </w:rPr>
              <w:t>0</w:t>
            </w:r>
          </w:p>
        </w:tc>
      </w:tr>
      <w:tr>
        <w:tblPrEx>
          <w:tblCellMar>
            <w:top w:w="0" w:type="dxa"/>
            <w:left w:w="0" w:type="dxa"/>
            <w:bottom w:w="0" w:type="dxa"/>
            <w:right w:w="0" w:type="dxa"/>
          </w:tblCellMar>
        </w:tblPrEx>
        <w:trPr>
          <w:trHeight w:val="480" w:hRule="atLeast"/>
          <w:tblCellSpacing w:w="0" w:type="dxa"/>
          <w:jc w:val="center"/>
        </w:trPr>
        <w:tc>
          <w:tcPr>
            <w:tcW w:w="8145" w:type="dxa"/>
            <w:gridSpan w:val="4"/>
            <w:tcBorders>
              <w:top w:val="nil"/>
              <w:left w:val="single" w:color="auto" w:sz="6" w:space="0"/>
              <w:bottom w:val="single" w:color="auto" w:sz="6" w:space="0"/>
              <w:right w:val="single" w:color="auto" w:sz="6" w:space="0"/>
            </w:tcBorders>
            <w:shd w:val="clear" w:color="auto" w:fill="C6D9F1"/>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第二十条第（八）项</w:t>
            </w:r>
          </w:p>
        </w:tc>
      </w:tr>
      <w:tr>
        <w:tblPrEx>
          <w:tblCellMar>
            <w:top w:w="0" w:type="dxa"/>
            <w:left w:w="0" w:type="dxa"/>
            <w:bottom w:w="0" w:type="dxa"/>
            <w:right w:w="0" w:type="dxa"/>
          </w:tblCellMar>
        </w:tblPrEx>
        <w:trPr>
          <w:trHeight w:val="270" w:hRule="atLeast"/>
          <w:tblCellSpacing w:w="0" w:type="dxa"/>
          <w:jc w:val="center"/>
        </w:trPr>
        <w:tc>
          <w:tcPr>
            <w:tcW w:w="312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信息内容</w:t>
            </w:r>
          </w:p>
        </w:tc>
        <w:tc>
          <w:tcPr>
            <w:tcW w:w="18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rFonts w:hint="eastAsia" w:ascii="宋体" w:hAnsi="宋体" w:eastAsia="宋体" w:cs="宋体"/>
                <w:color w:val="333333"/>
                <w:sz w:val="19"/>
                <w:szCs w:val="19"/>
                <w:bdr w:val="none" w:color="auto" w:sz="0" w:space="0"/>
              </w:rPr>
              <w:t>上一年项目数量</w:t>
            </w:r>
          </w:p>
        </w:tc>
        <w:tc>
          <w:tcPr>
            <w:tcW w:w="3150" w:type="dxa"/>
            <w:gridSpan w:val="2"/>
            <w:tcBorders>
              <w:top w:val="single" w:color="auto" w:sz="6" w:space="0"/>
              <w:left w:val="nil"/>
              <w:bottom w:val="single" w:color="auto"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本年增/减</w:t>
            </w:r>
          </w:p>
        </w:tc>
      </w:tr>
      <w:tr>
        <w:tblPrEx>
          <w:tblCellMar>
            <w:top w:w="0" w:type="dxa"/>
            <w:left w:w="0" w:type="dxa"/>
            <w:bottom w:w="0" w:type="dxa"/>
            <w:right w:w="0" w:type="dxa"/>
          </w:tblCellMar>
        </w:tblPrEx>
        <w:trPr>
          <w:trHeight w:val="555" w:hRule="atLeast"/>
          <w:tblCellSpacing w:w="0" w:type="dxa"/>
          <w:jc w:val="center"/>
        </w:trPr>
        <w:tc>
          <w:tcPr>
            <w:tcW w:w="312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rFonts w:hint="eastAsia" w:ascii="宋体" w:hAnsi="宋体" w:eastAsia="宋体" w:cs="宋体"/>
                <w:color w:val="333333"/>
                <w:sz w:val="19"/>
                <w:szCs w:val="19"/>
                <w:bdr w:val="none" w:color="auto" w:sz="0" w:space="0"/>
              </w:rPr>
              <w:t>行政事业性收费</w:t>
            </w:r>
          </w:p>
        </w:tc>
        <w:tc>
          <w:tcPr>
            <w:tcW w:w="18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color w:val="333333"/>
                <w:sz w:val="21"/>
                <w:szCs w:val="21"/>
                <w:bdr w:val="none" w:color="auto" w:sz="0" w:space="0"/>
              </w:rPr>
              <w:t>　</w:t>
            </w:r>
            <w:r>
              <w:rPr>
                <w:rFonts w:hint="eastAsia" w:ascii="宋体" w:hAnsi="宋体" w:eastAsia="宋体" w:cs="宋体"/>
                <w:color w:val="333333"/>
                <w:sz w:val="19"/>
                <w:szCs w:val="19"/>
                <w:bdr w:val="none" w:color="auto" w:sz="0" w:space="0"/>
              </w:rPr>
              <w:t>0</w:t>
            </w:r>
          </w:p>
        </w:tc>
        <w:tc>
          <w:tcPr>
            <w:tcW w:w="3150" w:type="dxa"/>
            <w:gridSpan w:val="2"/>
            <w:tcBorders>
              <w:top w:val="nil"/>
              <w:left w:val="nil"/>
              <w:bottom w:val="single" w:color="auto"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0 </w:t>
            </w:r>
          </w:p>
        </w:tc>
      </w:tr>
      <w:tr>
        <w:tblPrEx>
          <w:tblCellMar>
            <w:top w:w="0" w:type="dxa"/>
            <w:left w:w="0" w:type="dxa"/>
            <w:bottom w:w="0" w:type="dxa"/>
            <w:right w:w="0" w:type="dxa"/>
          </w:tblCellMar>
        </w:tblPrEx>
        <w:trPr>
          <w:trHeight w:val="480" w:hRule="atLeast"/>
          <w:tblCellSpacing w:w="0" w:type="dxa"/>
          <w:jc w:val="center"/>
        </w:trPr>
        <w:tc>
          <w:tcPr>
            <w:tcW w:w="8145" w:type="dxa"/>
            <w:gridSpan w:val="4"/>
            <w:tcBorders>
              <w:top w:val="nil"/>
              <w:left w:val="single" w:color="auto" w:sz="6" w:space="0"/>
              <w:bottom w:val="single" w:color="auto" w:sz="6" w:space="0"/>
              <w:right w:val="single" w:color="auto" w:sz="6" w:space="0"/>
            </w:tcBorders>
            <w:shd w:val="clear" w:color="auto" w:fill="C6D9F1"/>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第二十条第（九）项</w:t>
            </w:r>
          </w:p>
        </w:tc>
      </w:tr>
      <w:tr>
        <w:tblPrEx>
          <w:tblCellMar>
            <w:top w:w="0" w:type="dxa"/>
            <w:left w:w="0" w:type="dxa"/>
            <w:bottom w:w="0" w:type="dxa"/>
            <w:right w:w="0" w:type="dxa"/>
          </w:tblCellMar>
        </w:tblPrEx>
        <w:trPr>
          <w:trHeight w:val="585" w:hRule="atLeast"/>
          <w:tblCellSpacing w:w="0" w:type="dxa"/>
          <w:jc w:val="center"/>
        </w:trPr>
        <w:tc>
          <w:tcPr>
            <w:tcW w:w="312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信息内容</w:t>
            </w:r>
          </w:p>
        </w:tc>
        <w:tc>
          <w:tcPr>
            <w:tcW w:w="18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采购项目数量</w:t>
            </w:r>
          </w:p>
        </w:tc>
        <w:tc>
          <w:tcPr>
            <w:tcW w:w="3150" w:type="dxa"/>
            <w:gridSpan w:val="2"/>
            <w:tcBorders>
              <w:top w:val="single" w:color="auto" w:sz="6" w:space="0"/>
              <w:left w:val="nil"/>
              <w:bottom w:val="single" w:color="auto"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采购总金额</w:t>
            </w:r>
          </w:p>
        </w:tc>
      </w:tr>
      <w:tr>
        <w:tblPrEx>
          <w:tblCellMar>
            <w:top w:w="0" w:type="dxa"/>
            <w:left w:w="0" w:type="dxa"/>
            <w:bottom w:w="0" w:type="dxa"/>
            <w:right w:w="0" w:type="dxa"/>
          </w:tblCellMar>
        </w:tblPrEx>
        <w:trPr>
          <w:trHeight w:val="540" w:hRule="atLeast"/>
          <w:tblCellSpacing w:w="0" w:type="dxa"/>
          <w:jc w:val="center"/>
        </w:trPr>
        <w:tc>
          <w:tcPr>
            <w:tcW w:w="312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rFonts w:hint="eastAsia" w:ascii="宋体" w:hAnsi="宋体" w:eastAsia="宋体" w:cs="宋体"/>
                <w:color w:val="333333"/>
                <w:sz w:val="19"/>
                <w:szCs w:val="19"/>
                <w:bdr w:val="none" w:color="auto" w:sz="0" w:space="0"/>
              </w:rPr>
              <w:t>政府集中采购</w:t>
            </w:r>
          </w:p>
        </w:tc>
        <w:tc>
          <w:tcPr>
            <w:tcW w:w="18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color w:val="333333"/>
                <w:sz w:val="21"/>
                <w:szCs w:val="21"/>
                <w:bdr w:val="none" w:color="auto" w:sz="0" w:space="0"/>
              </w:rPr>
              <w:t>　</w:t>
            </w:r>
            <w:r>
              <w:rPr>
                <w:rFonts w:hint="eastAsia" w:ascii="宋体" w:hAnsi="宋体" w:eastAsia="宋体" w:cs="宋体"/>
                <w:color w:val="333333"/>
                <w:sz w:val="19"/>
                <w:szCs w:val="19"/>
                <w:bdr w:val="none" w:color="auto" w:sz="0" w:space="0"/>
              </w:rPr>
              <w:t>0</w:t>
            </w:r>
          </w:p>
        </w:tc>
        <w:tc>
          <w:tcPr>
            <w:tcW w:w="3150" w:type="dxa"/>
            <w:gridSpan w:val="2"/>
            <w:tcBorders>
              <w:top w:val="nil"/>
              <w:left w:val="nil"/>
              <w:bottom w:val="single" w:color="auto"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Fonts w:hint="eastAsia" w:ascii="宋体" w:hAnsi="宋体" w:eastAsia="宋体" w:cs="宋体"/>
                <w:color w:val="333333"/>
                <w:sz w:val="24"/>
                <w:szCs w:val="24"/>
                <w:bdr w:val="none" w:color="auto" w:sz="0" w:space="0"/>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50" w:lineRule="atLeast"/>
        <w:ind w:left="0" w:right="0" w:firstLine="420"/>
        <w:jc w:val="both"/>
        <w:rPr>
          <w:rFonts w:hint="eastAsia" w:ascii="微软雅黑" w:hAnsi="微软雅黑" w:eastAsia="微软雅黑" w:cs="微软雅黑"/>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三、收到和处理政府信息公开申请情况</w:t>
      </w:r>
    </w:p>
    <w:tbl>
      <w:tblPr>
        <w:tblW w:w="9075" w:type="dxa"/>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20"/>
        <w:gridCol w:w="855"/>
        <w:gridCol w:w="2078"/>
        <w:gridCol w:w="808"/>
        <w:gridCol w:w="748"/>
        <w:gridCol w:w="748"/>
        <w:gridCol w:w="808"/>
        <w:gridCol w:w="972"/>
        <w:gridCol w:w="719"/>
        <w:gridCol w:w="71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3555" w:type="dxa"/>
            <w:gridSpan w:val="3"/>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（本列数据的勾稽关系为：第一项加第二项之和，等于第三项加第四项之和）</w:t>
            </w:r>
          </w:p>
        </w:tc>
        <w:tc>
          <w:tcPr>
            <w:tcW w:w="5520" w:type="dxa"/>
            <w:gridSpan w:val="7"/>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3555" w:type="dxa"/>
            <w:gridSpan w:val="3"/>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81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自然人</w:t>
            </w:r>
          </w:p>
        </w:tc>
        <w:tc>
          <w:tcPr>
            <w:tcW w:w="4005" w:type="dxa"/>
            <w:gridSpan w:val="5"/>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法人或其他组织</w:t>
            </w:r>
          </w:p>
        </w:tc>
        <w:tc>
          <w:tcPr>
            <w:tcW w:w="690"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3555" w:type="dxa"/>
            <w:gridSpan w:val="3"/>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81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商业企业</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科研机构</w:t>
            </w:r>
          </w:p>
        </w:tc>
        <w:tc>
          <w:tcPr>
            <w:tcW w:w="81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社会公益组织</w:t>
            </w:r>
          </w:p>
        </w:tc>
        <w:tc>
          <w:tcPr>
            <w:tcW w:w="97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法律服务机构</w:t>
            </w:r>
          </w:p>
        </w:tc>
        <w:tc>
          <w:tcPr>
            <w:tcW w:w="70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其他</w:t>
            </w:r>
          </w:p>
        </w:tc>
        <w:tc>
          <w:tcPr>
            <w:tcW w:w="690"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3555" w:type="dxa"/>
            <w:gridSpan w:val="3"/>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rFonts w:hint="eastAsia" w:ascii="宋体" w:hAnsi="宋体" w:eastAsia="宋体" w:cs="宋体"/>
                <w:color w:val="333333"/>
                <w:sz w:val="19"/>
                <w:szCs w:val="19"/>
                <w:bdr w:val="none" w:color="auto" w:sz="0" w:space="0"/>
              </w:rPr>
              <w:t>一、本年新收政府信息公开申请数量</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3555" w:type="dxa"/>
            <w:gridSpan w:val="3"/>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rFonts w:hint="eastAsia" w:ascii="宋体" w:hAnsi="宋体" w:eastAsia="宋体" w:cs="宋体"/>
                <w:color w:val="333333"/>
                <w:sz w:val="19"/>
                <w:szCs w:val="19"/>
                <w:bdr w:val="none" w:color="auto" w:sz="0" w:space="0"/>
              </w:rPr>
              <w:t>二、上年结转政府信息公开申请数量</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1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三、本年度办理结果</w:t>
            </w:r>
          </w:p>
        </w:tc>
        <w:tc>
          <w:tcPr>
            <w:tcW w:w="2940" w:type="dxa"/>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rFonts w:ascii="楷体" w:hAnsi="楷体" w:eastAsia="楷体" w:cs="楷体"/>
                <w:color w:val="333333"/>
                <w:sz w:val="19"/>
                <w:szCs w:val="19"/>
                <w:bdr w:val="none" w:color="auto" w:sz="0" w:space="0"/>
              </w:rPr>
              <w:t>（一）予以公开</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69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1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940" w:type="dxa"/>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rFonts w:hint="eastAsia" w:ascii="楷体" w:hAnsi="楷体" w:eastAsia="楷体" w:cs="楷体"/>
                <w:color w:val="333333"/>
                <w:sz w:val="19"/>
                <w:szCs w:val="19"/>
                <w:bdr w:val="none" w:color="auto" w:sz="0" w:space="0"/>
              </w:rPr>
              <w:t>（二）部分公开（区分处理的，只计这一情形，不计其他情形）</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1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rFonts w:hint="eastAsia" w:ascii="楷体" w:hAnsi="楷体" w:eastAsia="楷体" w:cs="楷体"/>
                <w:color w:val="333333"/>
                <w:sz w:val="19"/>
                <w:szCs w:val="19"/>
                <w:bdr w:val="none" w:color="auto" w:sz="0" w:space="0"/>
              </w:rPr>
              <w:t>（三）不予公开</w:t>
            </w: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rFonts w:hint="eastAsia" w:ascii="楷体" w:hAnsi="楷体" w:eastAsia="楷体" w:cs="楷体"/>
                <w:color w:val="333333"/>
                <w:sz w:val="19"/>
                <w:szCs w:val="19"/>
                <w:bdr w:val="none" w:color="auto" w:sz="0" w:space="0"/>
              </w:rPr>
              <w:t>1.属于国家秘密</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69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1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rFonts w:hint="eastAsia" w:ascii="楷体" w:hAnsi="楷体" w:eastAsia="楷体" w:cs="楷体"/>
                <w:color w:val="333333"/>
                <w:sz w:val="19"/>
                <w:szCs w:val="19"/>
                <w:bdr w:val="none" w:color="auto" w:sz="0" w:space="0"/>
              </w:rPr>
              <w:t>2.其他法律行政法规禁止公开</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1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rFonts w:hint="eastAsia" w:ascii="楷体" w:hAnsi="楷体" w:eastAsia="楷体" w:cs="楷体"/>
                <w:color w:val="333333"/>
                <w:sz w:val="19"/>
                <w:szCs w:val="19"/>
                <w:bdr w:val="none" w:color="auto" w:sz="0" w:space="0"/>
              </w:rPr>
              <w:t>3.危及“三安全一稳定”</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1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rFonts w:hint="eastAsia" w:ascii="楷体" w:hAnsi="楷体" w:eastAsia="楷体" w:cs="楷体"/>
                <w:color w:val="333333"/>
                <w:sz w:val="19"/>
                <w:szCs w:val="19"/>
                <w:bdr w:val="none" w:color="auto" w:sz="0" w:space="0"/>
              </w:rPr>
              <w:t>4.保护第三方合法权益</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1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rFonts w:hint="eastAsia" w:ascii="楷体" w:hAnsi="楷体" w:eastAsia="楷体" w:cs="楷体"/>
                <w:color w:val="333333"/>
                <w:sz w:val="19"/>
                <w:szCs w:val="19"/>
                <w:bdr w:val="none" w:color="auto" w:sz="0" w:space="0"/>
              </w:rPr>
              <w:t>5.属于三类内部事务信息</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1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rFonts w:hint="eastAsia" w:ascii="楷体" w:hAnsi="楷体" w:eastAsia="楷体" w:cs="楷体"/>
                <w:color w:val="333333"/>
                <w:sz w:val="19"/>
                <w:szCs w:val="19"/>
                <w:bdr w:val="none" w:color="auto" w:sz="0" w:space="0"/>
              </w:rPr>
              <w:t>6.属于四类过程性信息</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1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rFonts w:hint="eastAsia" w:ascii="楷体" w:hAnsi="楷体" w:eastAsia="楷体" w:cs="楷体"/>
                <w:color w:val="333333"/>
                <w:sz w:val="19"/>
                <w:szCs w:val="19"/>
                <w:bdr w:val="none" w:color="auto" w:sz="0" w:space="0"/>
              </w:rPr>
              <w:t>7.属于行政执法案卷</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1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rFonts w:hint="eastAsia" w:ascii="楷体" w:hAnsi="楷体" w:eastAsia="楷体" w:cs="楷体"/>
                <w:color w:val="333333"/>
                <w:sz w:val="19"/>
                <w:szCs w:val="19"/>
                <w:bdr w:val="none" w:color="auto" w:sz="0" w:space="0"/>
              </w:rPr>
              <w:t>8.属于行政查询事项</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1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rFonts w:hint="eastAsia" w:ascii="楷体" w:hAnsi="楷体" w:eastAsia="楷体" w:cs="楷体"/>
                <w:color w:val="333333"/>
                <w:sz w:val="19"/>
                <w:szCs w:val="19"/>
                <w:bdr w:val="none" w:color="auto" w:sz="0" w:space="0"/>
              </w:rPr>
              <w:t>（四）无法提供</w:t>
            </w: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rFonts w:hint="eastAsia" w:ascii="楷体" w:hAnsi="楷体" w:eastAsia="楷体" w:cs="楷体"/>
                <w:color w:val="333333"/>
                <w:sz w:val="19"/>
                <w:szCs w:val="19"/>
                <w:bdr w:val="none" w:color="auto" w:sz="0" w:space="0"/>
              </w:rPr>
              <w:t>1.本机关不掌握相关政府信息</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1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rFonts w:hint="eastAsia" w:ascii="楷体" w:hAnsi="楷体" w:eastAsia="楷体" w:cs="楷体"/>
                <w:color w:val="333333"/>
                <w:sz w:val="19"/>
                <w:szCs w:val="19"/>
                <w:bdr w:val="none" w:color="auto" w:sz="0" w:space="0"/>
              </w:rPr>
              <w:t>2.没有现成信息需要另行制作</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1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rFonts w:hint="eastAsia" w:ascii="楷体" w:hAnsi="楷体" w:eastAsia="楷体" w:cs="楷体"/>
                <w:color w:val="333333"/>
                <w:sz w:val="19"/>
                <w:szCs w:val="19"/>
                <w:bdr w:val="none" w:color="auto" w:sz="0" w:space="0"/>
              </w:rPr>
              <w:t>3.补正后申请内容仍不明确</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1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rFonts w:hint="eastAsia" w:ascii="楷体" w:hAnsi="楷体" w:eastAsia="楷体" w:cs="楷体"/>
                <w:color w:val="333333"/>
                <w:sz w:val="19"/>
                <w:szCs w:val="19"/>
                <w:bdr w:val="none" w:color="auto" w:sz="0" w:space="0"/>
              </w:rPr>
              <w:t>（五）不予处理</w:t>
            </w: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rFonts w:hint="eastAsia" w:ascii="楷体" w:hAnsi="楷体" w:eastAsia="楷体" w:cs="楷体"/>
                <w:color w:val="333333"/>
                <w:sz w:val="19"/>
                <w:szCs w:val="19"/>
                <w:bdr w:val="none" w:color="auto" w:sz="0" w:space="0"/>
              </w:rPr>
              <w:t>1.信访举报投诉类申请</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1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rFonts w:hint="eastAsia" w:ascii="楷体" w:hAnsi="楷体" w:eastAsia="楷体" w:cs="楷体"/>
                <w:color w:val="333333"/>
                <w:sz w:val="19"/>
                <w:szCs w:val="19"/>
                <w:bdr w:val="none" w:color="auto" w:sz="0" w:space="0"/>
              </w:rPr>
              <w:t>2.重复申请</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1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rFonts w:hint="eastAsia" w:ascii="楷体" w:hAnsi="楷体" w:eastAsia="楷体" w:cs="楷体"/>
                <w:color w:val="333333"/>
                <w:sz w:val="19"/>
                <w:szCs w:val="19"/>
                <w:bdr w:val="none" w:color="auto" w:sz="0" w:space="0"/>
              </w:rPr>
              <w:t>3.要求提供公开出版物</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1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rFonts w:hint="eastAsia" w:ascii="楷体" w:hAnsi="楷体" w:eastAsia="楷体" w:cs="楷体"/>
                <w:color w:val="333333"/>
                <w:sz w:val="19"/>
                <w:szCs w:val="19"/>
                <w:bdr w:val="none" w:color="auto" w:sz="0" w:space="0"/>
              </w:rPr>
              <w:t>4.无正当理由大量反复申请</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1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rFonts w:hint="eastAsia" w:ascii="楷体" w:hAnsi="楷体" w:eastAsia="楷体" w:cs="楷体"/>
                <w:color w:val="333333"/>
                <w:sz w:val="19"/>
                <w:szCs w:val="19"/>
                <w:bdr w:val="none" w:color="auto" w:sz="0" w:space="0"/>
              </w:rPr>
              <w:t>5.要求行政机关确认或重新出具已获取信息</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1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940" w:type="dxa"/>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rFonts w:hint="eastAsia" w:ascii="楷体" w:hAnsi="楷体" w:eastAsia="楷体" w:cs="楷体"/>
                <w:color w:val="333333"/>
                <w:sz w:val="19"/>
                <w:szCs w:val="19"/>
                <w:bdr w:val="none" w:color="auto" w:sz="0" w:space="0"/>
              </w:rPr>
              <w:t>（六）其他处理</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1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940" w:type="dxa"/>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rFonts w:hint="eastAsia" w:ascii="楷体" w:hAnsi="楷体" w:eastAsia="楷体" w:cs="楷体"/>
                <w:color w:val="333333"/>
                <w:sz w:val="19"/>
                <w:szCs w:val="19"/>
                <w:bdr w:val="none" w:color="auto" w:sz="0" w:space="0"/>
              </w:rPr>
              <w:t>（七）总计</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3555" w:type="dxa"/>
            <w:gridSpan w:val="3"/>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rFonts w:hint="eastAsia" w:ascii="宋体" w:hAnsi="宋体" w:eastAsia="宋体" w:cs="宋体"/>
                <w:color w:val="333333"/>
                <w:sz w:val="19"/>
                <w:szCs w:val="19"/>
                <w:bdr w:val="none" w:color="auto" w:sz="0" w:space="0"/>
              </w:rPr>
              <w:t>四、结转下年度继续办理</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四、政府信息公开行政复议、行政诉讼情况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tbl>
      <w:tblPr>
        <w:tblW w:w="9075" w:type="dxa"/>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3075" w:type="dxa"/>
            <w:gridSpan w:val="5"/>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行政复议</w:t>
            </w:r>
          </w:p>
        </w:tc>
        <w:tc>
          <w:tcPr>
            <w:tcW w:w="6000" w:type="dxa"/>
            <w:gridSpan w:val="10"/>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00"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结果维持</w:t>
            </w:r>
          </w:p>
        </w:tc>
        <w:tc>
          <w:tcPr>
            <w:tcW w:w="6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结果纠正</w:t>
            </w:r>
          </w:p>
        </w:tc>
        <w:tc>
          <w:tcPr>
            <w:tcW w:w="600"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其他结果</w:t>
            </w:r>
          </w:p>
        </w:tc>
        <w:tc>
          <w:tcPr>
            <w:tcW w:w="600"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尚未审结</w:t>
            </w:r>
          </w:p>
        </w:tc>
        <w:tc>
          <w:tcPr>
            <w:tcW w:w="660"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总计</w:t>
            </w:r>
          </w:p>
        </w:tc>
        <w:tc>
          <w:tcPr>
            <w:tcW w:w="2970" w:type="dxa"/>
            <w:gridSpan w:val="5"/>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未经复议直接起诉</w:t>
            </w:r>
          </w:p>
        </w:tc>
        <w:tc>
          <w:tcPr>
            <w:tcW w:w="3030" w:type="dxa"/>
            <w:gridSpan w:val="5"/>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0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6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660"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55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结果维持</w:t>
            </w:r>
          </w:p>
        </w:tc>
        <w:tc>
          <w:tcPr>
            <w:tcW w:w="6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结果纠正</w:t>
            </w:r>
          </w:p>
        </w:tc>
        <w:tc>
          <w:tcPr>
            <w:tcW w:w="60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其他结果</w:t>
            </w:r>
          </w:p>
        </w:tc>
        <w:tc>
          <w:tcPr>
            <w:tcW w:w="60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尚未审结</w:t>
            </w:r>
          </w:p>
        </w:tc>
        <w:tc>
          <w:tcPr>
            <w:tcW w:w="60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总计</w:t>
            </w:r>
          </w:p>
        </w:tc>
        <w:tc>
          <w:tcPr>
            <w:tcW w:w="60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结果维持</w:t>
            </w:r>
          </w:p>
        </w:tc>
        <w:tc>
          <w:tcPr>
            <w:tcW w:w="60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结果纠正</w:t>
            </w:r>
          </w:p>
        </w:tc>
        <w:tc>
          <w:tcPr>
            <w:tcW w:w="60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其他结果</w:t>
            </w:r>
          </w:p>
        </w:tc>
        <w:tc>
          <w:tcPr>
            <w:tcW w:w="60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尚未审结</w:t>
            </w:r>
          </w:p>
        </w:tc>
        <w:tc>
          <w:tcPr>
            <w:tcW w:w="60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0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6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6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6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w:t>
            </w:r>
            <w:r>
              <w:rPr>
                <w:rFonts w:hint="default" w:ascii="Calibri" w:hAnsi="Calibri" w:cs="Calibri"/>
                <w:color w:val="333333"/>
                <w:sz w:val="19"/>
                <w:szCs w:val="19"/>
                <w:bdr w:val="none" w:color="auto" w:sz="0" w:space="0"/>
              </w:rPr>
              <w:t> </w:t>
            </w:r>
          </w:p>
        </w:tc>
        <w:tc>
          <w:tcPr>
            <w:tcW w:w="6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Calibri" w:hAnsi="Calibri" w:cs="Calibri"/>
                <w:color w:val="333333"/>
                <w:sz w:val="19"/>
                <w:szCs w:val="19"/>
                <w:bdr w:val="none" w:color="auto" w:sz="0" w:space="0"/>
              </w:rPr>
              <w:t> </w:t>
            </w:r>
            <w:r>
              <w:rPr>
                <w:rFonts w:hint="eastAsia" w:ascii="宋体" w:hAnsi="宋体" w:eastAsia="宋体" w:cs="宋体"/>
                <w:color w:val="333333"/>
                <w:sz w:val="19"/>
                <w:szCs w:val="19"/>
                <w:bdr w:val="none" w:color="auto" w:sz="0" w:space="0"/>
              </w:rPr>
              <w:t>0</w:t>
            </w:r>
          </w:p>
        </w:tc>
        <w:tc>
          <w:tcPr>
            <w:tcW w:w="55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 0</w:t>
            </w:r>
          </w:p>
        </w:tc>
        <w:tc>
          <w:tcPr>
            <w:tcW w:w="6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 0</w:t>
            </w:r>
          </w:p>
        </w:tc>
        <w:tc>
          <w:tcPr>
            <w:tcW w:w="6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0 </w:t>
            </w:r>
          </w:p>
        </w:tc>
        <w:tc>
          <w:tcPr>
            <w:tcW w:w="6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0 </w:t>
            </w:r>
          </w:p>
        </w:tc>
        <w:tc>
          <w:tcPr>
            <w:tcW w:w="6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0 </w:t>
            </w:r>
          </w:p>
        </w:tc>
        <w:tc>
          <w:tcPr>
            <w:tcW w:w="6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 0</w:t>
            </w:r>
          </w:p>
        </w:tc>
        <w:tc>
          <w:tcPr>
            <w:tcW w:w="6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0 </w:t>
            </w:r>
          </w:p>
        </w:tc>
        <w:tc>
          <w:tcPr>
            <w:tcW w:w="6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 0</w:t>
            </w:r>
          </w:p>
        </w:tc>
        <w:tc>
          <w:tcPr>
            <w:tcW w:w="6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 0</w:t>
            </w:r>
          </w:p>
        </w:tc>
        <w:tc>
          <w:tcPr>
            <w:tcW w:w="6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Fonts w:hint="eastAsia" w:ascii="宋体" w:hAnsi="宋体" w:eastAsia="宋体" w:cs="宋体"/>
                <w:color w:val="333333"/>
                <w:sz w:val="24"/>
                <w:szCs w:val="24"/>
                <w:bdr w:val="none" w:color="auto" w:sz="0" w:space="0"/>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center"/>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20"/>
        <w:jc w:val="both"/>
        <w:rPr>
          <w:rFonts w:hint="eastAsia" w:ascii="微软雅黑" w:hAnsi="微软雅黑" w:eastAsia="微软雅黑" w:cs="微软雅黑"/>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（一）存在的问题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信息公开工作机制还需完善。需要完善公开制度，进一步畅通公开方式，规范格式流程，做到及时答复。同时强化公开内容的预审和把关，确保公开内容准确、公开范围合理。要继续提升政务信息公开水平，确保信息发布准确、报送畅通，严格审核把关，充分保障公众对民政工作的知情权、参与权、监督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 满足新时代群众对高质量政务公开的需求不足。满足于数量，只注重发布数量，公开的信息局限于日常动态、领导调研等信息，而政府工作中决策、执行、管理、服务和结果，公开得少，很多重点领域信息和政策解读类信息少。必须尽力提供能够满足群众需求的高质量政务服务信息。必须牢固树立以人民为中心的政务服务公开理念，呼应群众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420" w:right="0" w:firstLine="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在今后的工作中，将进一步提高认识，认真研究工作中的薄弱环节，采取有效措施，加强和规范政府公开工作。一是提高思想认识，切实解决公开理念不到位的问题。结合工作实际，进一步强化思想意识，深入开展政务公开学习研究，加强队伍建设，切实提高工作质量与水平，保证政务公开工作有效开展。二是进一步加快信息发布更新，自觉将政府网站作为信息与政务公开的第一平台，进一步完善网站信息发布机制和信息内容更新保障机制，切实提高发布时效。三是进一步强化公开渠道融合。探索构建由网站、政务微博、微信组成的新媒体矩阵，积极抢占新媒体阵地。进一步加强与新闻媒体的协作，不断提高政务信息传播效率，促进政府信息和政务公开工作整体提升。四是满足新时代群众对高质量政务公开的需求。坚持以标准化、规范化建设为抓手，依据权力清单、责任清单及公共服务事项清单，结合政府机构改革和职能优化，从编制主体、依据、程序等标准向度稳步推进政务公开事项目录编制，及时进行动态更新调整，使政务公开的范围和边界更加清晰、程序更加规范，不断提升政务公开的精准性和实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20"/>
        <w:jc w:val="both"/>
        <w:rPr>
          <w:rFonts w:hint="eastAsia" w:ascii="微软雅黑" w:hAnsi="微软雅黑" w:eastAsia="微软雅黑" w:cs="微软雅黑"/>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w:t>
      </w:r>
      <w:r>
        <w:rPr>
          <w:rFonts w:hint="eastAsia" w:ascii="宋体" w:hAnsi="宋体" w:eastAsia="宋体" w:cs="宋体"/>
          <w:i w:val="0"/>
          <w:caps w:val="0"/>
          <w:color w:val="333333"/>
          <w:spacing w:val="0"/>
          <w:sz w:val="24"/>
          <w:szCs w:val="24"/>
          <w:shd w:val="clear" w:fill="FFFFFF"/>
          <w:lang w:eastAsia="zh-CN"/>
        </w:rPr>
        <w:t>一</w:t>
      </w:r>
      <w:r>
        <w:rPr>
          <w:rFonts w:hint="eastAsia" w:ascii="宋体" w:hAnsi="宋体" w:eastAsia="宋体" w:cs="宋体"/>
          <w:i w:val="0"/>
          <w:caps w:val="0"/>
          <w:color w:val="333333"/>
          <w:spacing w:val="0"/>
          <w:sz w:val="24"/>
          <w:szCs w:val="24"/>
          <w:shd w:val="clear" w:fill="FFFFFF"/>
        </w:rPr>
        <w:t>）人大建议政协提案办理情况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20"/>
        <w:jc w:val="both"/>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2020年</w:t>
      </w:r>
      <w:r>
        <w:rPr>
          <w:rFonts w:hint="eastAsia" w:ascii="宋体" w:hAnsi="宋体" w:eastAsia="宋体" w:cs="宋体"/>
          <w:i w:val="0"/>
          <w:caps w:val="0"/>
          <w:color w:val="333333"/>
          <w:spacing w:val="0"/>
          <w:sz w:val="24"/>
          <w:szCs w:val="24"/>
          <w:shd w:val="clear" w:fill="FFFFFF"/>
          <w:lang w:eastAsia="zh-CN"/>
        </w:rPr>
        <w:t>，</w:t>
      </w:r>
      <w:r>
        <w:rPr>
          <w:rFonts w:hint="eastAsia" w:ascii="宋体" w:hAnsi="宋体" w:eastAsia="宋体" w:cs="宋体"/>
          <w:i w:val="0"/>
          <w:caps w:val="0"/>
          <w:color w:val="333333"/>
          <w:spacing w:val="0"/>
          <w:sz w:val="24"/>
          <w:szCs w:val="24"/>
          <w:shd w:val="clear" w:fill="FFFFFF"/>
        </w:rPr>
        <w:t>嘉祥县民政局共承办代表建议</w:t>
      </w:r>
      <w:r>
        <w:rPr>
          <w:rFonts w:hint="eastAsia" w:ascii="宋体" w:hAnsi="宋体" w:eastAsia="宋体" w:cs="宋体"/>
          <w:i w:val="0"/>
          <w:caps w:val="0"/>
          <w:color w:val="333333"/>
          <w:spacing w:val="0"/>
          <w:sz w:val="24"/>
          <w:szCs w:val="24"/>
          <w:shd w:val="clear" w:fill="FFFFFF"/>
          <w:lang w:val="en-US" w:eastAsia="zh-CN"/>
        </w:rPr>
        <w:t>0</w:t>
      </w:r>
      <w:r>
        <w:rPr>
          <w:rFonts w:hint="eastAsia" w:ascii="宋体" w:hAnsi="宋体" w:eastAsia="宋体" w:cs="宋体"/>
          <w:i w:val="0"/>
          <w:caps w:val="0"/>
          <w:color w:val="333333"/>
          <w:spacing w:val="0"/>
          <w:sz w:val="24"/>
          <w:szCs w:val="24"/>
          <w:shd w:val="clear" w:fill="FFFFFF"/>
        </w:rPr>
        <w:t>件</w:t>
      </w:r>
      <w:r>
        <w:rPr>
          <w:rFonts w:hint="eastAsia" w:ascii="宋体" w:hAnsi="宋体" w:eastAsia="宋体" w:cs="宋体"/>
          <w:i w:val="0"/>
          <w:caps w:val="0"/>
          <w:color w:val="333333"/>
          <w:spacing w:val="0"/>
          <w:sz w:val="24"/>
          <w:szCs w:val="24"/>
          <w:shd w:val="clear" w:fill="FFFFFF"/>
          <w:lang w:eastAsia="zh-CN"/>
        </w:rPr>
        <w:t>，承办政协提案</w:t>
      </w:r>
      <w:r>
        <w:rPr>
          <w:rFonts w:hint="eastAsia" w:ascii="宋体" w:hAnsi="宋体" w:eastAsia="宋体" w:cs="宋体"/>
          <w:i w:val="0"/>
          <w:caps w:val="0"/>
          <w:color w:val="333333"/>
          <w:spacing w:val="0"/>
          <w:sz w:val="24"/>
          <w:szCs w:val="24"/>
          <w:shd w:val="clear" w:fill="FFFFFF"/>
          <w:lang w:val="en-US" w:eastAsia="zh-CN"/>
        </w:rPr>
        <w:t>8</w:t>
      </w:r>
      <w:r>
        <w:rPr>
          <w:rFonts w:hint="eastAsia" w:ascii="宋体" w:hAnsi="宋体" w:eastAsia="宋体" w:cs="宋体"/>
          <w:i w:val="0"/>
          <w:caps w:val="0"/>
          <w:color w:val="333333"/>
          <w:spacing w:val="0"/>
          <w:sz w:val="24"/>
          <w:szCs w:val="24"/>
          <w:shd w:val="clear" w:fill="FFFFFF"/>
          <w:lang w:eastAsia="zh-CN"/>
        </w:rPr>
        <w:t>件，办复率100%，已经解决或基本解决的</w:t>
      </w:r>
      <w:r>
        <w:rPr>
          <w:rFonts w:hint="eastAsia" w:ascii="宋体" w:hAnsi="宋体" w:eastAsia="宋体" w:cs="宋体"/>
          <w:i w:val="0"/>
          <w:caps w:val="0"/>
          <w:color w:val="333333"/>
          <w:spacing w:val="0"/>
          <w:sz w:val="24"/>
          <w:szCs w:val="24"/>
          <w:shd w:val="clear" w:fill="FFFFFF"/>
          <w:lang w:val="en-US" w:eastAsia="zh-CN"/>
        </w:rPr>
        <w:t>8</w:t>
      </w:r>
      <w:r>
        <w:rPr>
          <w:rFonts w:hint="eastAsia" w:ascii="宋体" w:hAnsi="宋体" w:eastAsia="宋体" w:cs="宋体"/>
          <w:i w:val="0"/>
          <w:caps w:val="0"/>
          <w:color w:val="333333"/>
          <w:spacing w:val="0"/>
          <w:sz w:val="24"/>
          <w:szCs w:val="24"/>
          <w:shd w:val="clear" w:fill="FFFFFF"/>
          <w:lang w:eastAsia="zh-CN"/>
        </w:rPr>
        <w:t>件，占</w:t>
      </w:r>
      <w:r>
        <w:rPr>
          <w:rFonts w:hint="eastAsia" w:ascii="宋体" w:hAnsi="宋体" w:eastAsia="宋体" w:cs="宋体"/>
          <w:i w:val="0"/>
          <w:caps w:val="0"/>
          <w:color w:val="333333"/>
          <w:spacing w:val="0"/>
          <w:sz w:val="24"/>
          <w:szCs w:val="24"/>
          <w:shd w:val="clear" w:fill="FFFFFF"/>
          <w:lang w:val="en-US" w:eastAsia="zh-CN"/>
        </w:rPr>
        <w:t>100</w:t>
      </w:r>
      <w:r>
        <w:rPr>
          <w:rFonts w:hint="eastAsia" w:ascii="宋体" w:hAnsi="宋体" w:eastAsia="宋体" w:cs="宋体"/>
          <w:i w:val="0"/>
          <w:caps w:val="0"/>
          <w:color w:val="333333"/>
          <w:spacing w:val="0"/>
          <w:sz w:val="24"/>
          <w:szCs w:val="24"/>
          <w:shd w:val="clear" w:fill="FFFFFF"/>
          <w:lang w:eastAsia="zh-CN"/>
        </w:rPr>
        <w:t>%</w:t>
      </w:r>
      <w:r>
        <w:rPr>
          <w:rFonts w:hint="eastAsia" w:ascii="宋体" w:hAnsi="宋体" w:eastAsia="宋体" w:cs="宋体"/>
          <w:i w:val="0"/>
          <w:caps w:val="0"/>
          <w:color w:val="333333"/>
          <w:spacing w:val="0"/>
          <w:sz w:val="24"/>
          <w:szCs w:val="24"/>
          <w:shd w:val="clear" w:fill="FFFFFF"/>
          <w:lang w:eastAsia="zh-CN"/>
        </w:rPr>
        <w:t>。</w:t>
      </w:r>
      <w:r>
        <w:rPr>
          <w:rFonts w:hint="eastAsia" w:ascii="宋体" w:hAnsi="宋体" w:eastAsia="宋体" w:cs="宋体"/>
          <w:i w:val="0"/>
          <w:caps w:val="0"/>
          <w:color w:val="333333"/>
          <w:spacing w:val="0"/>
          <w:sz w:val="24"/>
          <w:szCs w:val="24"/>
          <w:shd w:val="clear" w:fill="FFFFFF"/>
        </w:rPr>
        <w:t>办理情况均已通过嘉祥县人大代表建议和政协委员提案办理情况专题对外公开，公开率</w:t>
      </w:r>
      <w:r>
        <w:rPr>
          <w:rFonts w:hint="default" w:ascii="宋体" w:hAnsi="宋体" w:eastAsia="宋体" w:cs="宋体"/>
          <w:i w:val="0"/>
          <w:caps w:val="0"/>
          <w:color w:val="333333"/>
          <w:spacing w:val="0"/>
          <w:sz w:val="24"/>
          <w:szCs w:val="24"/>
          <w:shd w:val="clear" w:fill="FFFFFF"/>
        </w:rPr>
        <w:t>100%</w:t>
      </w:r>
      <w:r>
        <w:rPr>
          <w:rFonts w:hint="eastAsia" w:ascii="宋体" w:hAnsi="宋体" w:eastAsia="宋体" w:cs="宋体"/>
          <w:i w:val="0"/>
          <w:caps w:val="0"/>
          <w:color w:val="333333"/>
          <w:spacing w:val="0"/>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20"/>
        <w:jc w:val="both"/>
        <w:rPr>
          <w:rFonts w:hint="eastAsia" w:ascii="宋体" w:hAnsi="宋体" w:eastAsia="宋体" w:cs="宋体"/>
          <w:i w:val="0"/>
          <w:caps w:val="0"/>
          <w:color w:val="333333"/>
          <w:spacing w:val="0"/>
          <w:sz w:val="24"/>
          <w:szCs w:val="24"/>
          <w:shd w:val="clear" w:fill="FFFFFF"/>
          <w:lang w:eastAsia="zh-CN"/>
        </w:rPr>
      </w:pPr>
      <w:r>
        <w:rPr>
          <w:rFonts w:hint="eastAsia" w:ascii="宋体" w:hAnsi="宋体" w:eastAsia="宋体" w:cs="宋体"/>
          <w:i w:val="0"/>
          <w:caps w:val="0"/>
          <w:color w:val="333333"/>
          <w:spacing w:val="0"/>
          <w:sz w:val="24"/>
          <w:szCs w:val="24"/>
          <w:shd w:val="clear" w:fill="FFFFFF"/>
          <w:lang w:eastAsia="zh-CN"/>
        </w:rPr>
        <w:t>（二）有关数据统计说明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20"/>
        <w:jc w:val="both"/>
        <w:rPr>
          <w:rFonts w:hint="eastAsia" w:ascii="宋体" w:hAnsi="宋体" w:eastAsia="宋体" w:cs="宋体"/>
          <w:i w:val="0"/>
          <w:caps w:val="0"/>
          <w:color w:val="333333"/>
          <w:spacing w:val="0"/>
          <w:sz w:val="24"/>
          <w:szCs w:val="24"/>
          <w:shd w:val="clear" w:fill="FFFFFF"/>
          <w:lang w:eastAsia="zh-CN"/>
        </w:rPr>
      </w:pPr>
      <w:r>
        <w:rPr>
          <w:rFonts w:hint="eastAsia" w:ascii="宋体" w:hAnsi="宋体" w:eastAsia="宋体" w:cs="宋体"/>
          <w:i w:val="0"/>
          <w:caps w:val="0"/>
          <w:color w:val="333333"/>
          <w:spacing w:val="0"/>
          <w:sz w:val="24"/>
          <w:szCs w:val="24"/>
          <w:shd w:val="clear" w:fill="FFFFFF"/>
          <w:lang w:eastAsia="zh-CN"/>
        </w:rPr>
        <w:t>本年度报告中所列数据统计期限从2020年1月1日到12月31日止。“二、主动公开政府信息”部分中统计表格中“上一年度”为2019年。其中，行政许可、行政处罚、行政强制、其他对外管理服务事项主要根据《省、市、县三级权责清单通用目录》统计，为全县的去重数；其他对外管理服务事项包括行政确认、行政给付、行政奖励、行政裁决、行政征收、行政监督检查、其他行政权力及公共服务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D75364"/>
    <w:rsid w:val="574C437A"/>
    <w:rsid w:val="76225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若水</cp:lastModifiedBy>
  <dcterms:modified xsi:type="dcterms:W3CDTF">2021-05-29T10:51:49Z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