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嘉祥县综合行政执法局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嘉祥县综合行政执法局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号）要求编制。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right="0" w:rightChars="0" w:firstLine="643" w:firstLineChars="200"/>
        <w:textAlignment w:val="auto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日止。本报告电子版可在“嘉祥县人民政府”网站（http://www.jiaxiang.gov.cn/）政府信息公开专栏查阅或下载。如对本报告有疑问，请与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嘉祥县综合行政执法局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嘉祥县兖兰路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613号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6561800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right="0" w:rightChars="0" w:firstLine="643" w:firstLineChars="200"/>
        <w:textAlignment w:val="auto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，嘉祥县综合行政执法局认真贯彻落实《中华人民共和国政府信息公开条例》以及省、市、县关于政府信息公开工作的各项要求，不断健全公开机制，强化工作措施，积极主动做好各项政府信息公开工作。</w:t>
      </w:r>
    </w:p>
    <w:p>
      <w:pPr>
        <w:numPr>
          <w:ilvl w:val="0"/>
          <w:numId w:val="1"/>
        </w:num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主动公开情况</w:t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综合执法局坚持“公开为原则，不公开为例外”的原则，不断完善信息公开工作机制，在政府网站共公开各类信息44条。其中行政执法事前公示信息8条、行政执法事后公示信息14条、财政预算决算信息4条，其他各类信息22条。</w:t>
      </w:r>
    </w:p>
    <w:p>
      <w:pPr>
        <w:numPr>
          <w:ilvl w:val="0"/>
          <w:numId w:val="0"/>
        </w:numPr>
        <w:spacing w:line="590" w:lineRule="exact"/>
        <w:ind w:right="-105" w:rightChars="-50" w:firstLine="420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201295</wp:posOffset>
            </wp:positionV>
            <wp:extent cx="4572000" cy="2743200"/>
            <wp:effectExtent l="4445" t="4445" r="14605" b="14605"/>
            <wp:wrapNone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嘉祥县综合行政执法局修订了《嘉祥县综合行政执法局政府信息公开指南》，确保各类依申请信息公开申请渠道畅通，细化明确程序环节，规范信息依申请公开办理程序。本年度我局未收到政府信息公开申请。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县综合执法局高度重视政府信息管理工作，按规定程序严格审查拟公开信息，确保公开内容真实准确。明确专职人员负责具体日常工作，及时更新栏目信息，确保公开内容及时有效。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按照上级关于政府信息公开工作的要求，依托“嘉祥县人民政府”网站，细分各类公开栏目，将有关政府信息及时向社会公开。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局办公室定期督导调度各队室政务公开工作推进情况，避免出现主动公开栏目更新不及时，提高政务公开的时效性和精准度。加强人员教育培训，及时掌握相关政策法规，不断提提升业务能力。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211" w:firstLineChars="100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 0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我局扎实开展政务公开工作，但仍有不足之处：一是主动公开的意识有待进一步加强。部分栏目信息内容较少、更新频率较低。二是信息公开工作人才队伍建设有短板，队伍人员的业务水平有待进一步提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下一步，我局将继续狠抓政府信息公开，重点做好以下两方面工作：一是进一步加强主动公开意识，强化信息的时效性和工作规范化，确保我局政务信息公开工作符合要求，坚持及时公布和更新信息，使政府信息公开工作做到有实效。二是进一步加强信息公开队伍建设，对从事政府信息公开工作的相关人员开展业务知识培训，不断提高政府信息公开的意识和能力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（一）依据《政府信息公开信息处理费管理办法》，县综合执法局2024年没有收取信息处理费的情况。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（二）落实上级年度政务公开工作要点情况。一是通过政府网站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及时发布城市管理政策、执法动态、行政处罚等信息，确保信息更新的时效性和准确性。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二是重点公开了环境卫生、市容秩序整治、违建拆除等群众关心的热点难点问题处理情况，增强了公众对城市管理工作的理解和支持。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今年我局共接到县人大建议2件，内容为户外小广告清理、地摊食品安全管理的建议。县政协委员提案4件,内容为占道经营、校园周边环境整治、执法力量下沉社区、广告文化管理。目前建议提案办理、答复工作已完成，建议提案的办结率、满意率均为100%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righ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嘉祥县综合行政执法局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center"/>
        <w:textAlignment w:val="auto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2025年1月8日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FE5CAF"/>
    <w:multiLevelType w:val="singleLevel"/>
    <w:tmpl w:val="41FE5C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F332A"/>
    <w:rsid w:val="07682984"/>
    <w:rsid w:val="0AF05C82"/>
    <w:rsid w:val="207774D0"/>
    <w:rsid w:val="464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嘉祥政府网公开文件饼状图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[工作簿1]Sheet1!$C$16:$J$16</c:f>
              <c:strCache>
                <c:ptCount val="8"/>
                <c:pt idx="0">
                  <c:v>行政执法事前公示</c:v>
                </c:pt>
                <c:pt idx="1">
                  <c:v>行政执法事后公示</c:v>
                </c:pt>
                <c:pt idx="2">
                  <c:v>财政预算、决算</c:v>
                </c:pt>
                <c:pt idx="3">
                  <c:v>重点领域</c:v>
                </c:pt>
                <c:pt idx="4">
                  <c:v>通知公告</c:v>
                </c:pt>
                <c:pt idx="5">
                  <c:v>政务公开组织管理</c:v>
                </c:pt>
                <c:pt idx="6">
                  <c:v>双随机、一公开</c:v>
                </c:pt>
                <c:pt idx="7">
                  <c:v>其他</c:v>
                </c:pt>
              </c:strCache>
            </c:strRef>
          </c:cat>
          <c:val>
            <c:numRef>
              <c:f>[工作簿1]Sheet1!$C$17:$J$17</c:f>
              <c:numCache>
                <c:formatCode>General</c:formatCode>
                <c:ptCount val="8"/>
                <c:pt idx="0">
                  <c:v>8</c:v>
                </c:pt>
                <c:pt idx="1">
                  <c:v>14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2025-01-06T08:09:00Z</dcterms:created>
  <dc:creator>午后红茶</dc:creator>
  <cp:lastModifiedBy>午后红茶</cp:lastModifiedBy>
  <dcterms:modified xsi:type="dcterms:W3CDTF">2025-01-08T07:01:41Z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5A65163E7F46437BB80B2A170BF9A3F3</vt:lpwstr>
  </property>
</Properties>
</file>