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r>
        <w:rPr>
          <w:sz w:val="4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ge">
                  <wp:posOffset>1285240</wp:posOffset>
                </wp:positionV>
                <wp:extent cx="5497830" cy="1565275"/>
                <wp:effectExtent l="0" t="0" r="0" b="0"/>
                <wp:wrapNone/>
                <wp:docPr id="1" name="文本框 1" descr="7b0a20202020227461726765744d6f64756c65223a202270726f636573734f6e6c696e65466f6e7473220a7d0a"/>
                <wp:cNvGraphicFramePr/>
                <a:graphic xmlns:a="http://schemas.openxmlformats.org/drawingml/2006/main">
                  <a:graphicData uri="http://schemas.microsoft.com/office/word/2010/wordprocessingShape">
                    <wps:wsp>
                      <wps:cNvSpPr txBox="1"/>
                      <wps:spPr>
                        <a:xfrm>
                          <a:off x="0" y="0"/>
                          <a:ext cx="5497830" cy="1565275"/>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lang w:eastAsia="zh-CN"/>
                              </w:rPr>
                            </w:pPr>
                            <w:r>
                              <w:rPr>
                                <w:rFonts w:hint="eastAsia" w:ascii="方正小标宋简体" w:hAnsi="方正小标宋简体" w:eastAsia="方正小标宋简体" w:cs="方正小标宋简体"/>
                                <w:b/>
                                <w:bCs w:val="0"/>
                                <w:color w:val="FF0000"/>
                                <w:spacing w:val="0"/>
                                <w:w w:val="38"/>
                                <w:kern w:val="0"/>
                                <w:sz w:val="144"/>
                                <w:szCs w:val="56"/>
                                <w:fitText w:val="8312" w:id="947393804"/>
                                <w:lang w:val="en" w:eastAsia="zh-CN"/>
                              </w:rPr>
                              <w:t>济宁市公共资源交易服务中心</w:t>
                            </w:r>
                            <w:r>
                              <w:rPr>
                                <w:rFonts w:hint="eastAsia" w:ascii="方正小标宋简体" w:hAnsi="方正小标宋简体" w:eastAsia="方正小标宋简体" w:cs="方正小标宋简体"/>
                                <w:b/>
                                <w:bCs w:val="0"/>
                                <w:color w:val="FF0000"/>
                                <w:spacing w:val="0"/>
                                <w:w w:val="38"/>
                                <w:kern w:val="0"/>
                                <w:sz w:val="144"/>
                                <w:szCs w:val="56"/>
                                <w:fitText w:val="8312" w:id="947393804"/>
                                <w:lang w:val="en-US" w:eastAsia="zh-CN"/>
                              </w:rPr>
                              <w:t>文</w:t>
                            </w:r>
                            <w:r>
                              <w:rPr>
                                <w:rFonts w:hint="eastAsia" w:ascii="方正小标宋简体" w:hAnsi="方正小标宋简体" w:eastAsia="方正小标宋简体" w:cs="方正小标宋简体"/>
                                <w:b/>
                                <w:bCs w:val="0"/>
                                <w:color w:val="FF0000"/>
                                <w:spacing w:val="-20"/>
                                <w:w w:val="38"/>
                                <w:kern w:val="0"/>
                                <w:sz w:val="144"/>
                                <w:szCs w:val="56"/>
                                <w:fitText w:val="8312" w:id="947393804"/>
                                <w:lang w:val="en-US" w:eastAsia="zh-CN"/>
                              </w:rPr>
                              <w:t>件</w:t>
                            </w:r>
                          </w:p>
                        </w:txbxContent>
                      </wps:txbx>
                      <wps:bodyPr vert="horz" wrap="square" anchor="t" anchorCtr="0">
                        <a:noAutofit/>
                      </wps:bodyPr>
                    </wps:wsp>
                  </a:graphicData>
                </a:graphic>
              </wp:anchor>
            </w:drawing>
          </mc:Choice>
          <mc:Fallback>
            <w:pict>
              <v:shape id="_x0000_s1026" o:spid="_x0000_s1026" o:spt="202" alt="7b0a20202020227461726765744d6f64756c65223a202270726f636573734f6e6c696e65466f6e7473220a7d0a" type="#_x0000_t202" style="position:absolute;left:0pt;margin-top:101.2pt;height:123.25pt;width:432.9pt;mso-position-horizontal:center;mso-position-vertical-relative:page;z-index:251659264;mso-width-relative:page;mso-height-relative:page;" filled="f" stroked="f" coordsize="21600,21600" o:gfxdata="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ZNE&#10;wtoAAAAIAQAADwAAAAAAAAABACAAAAAiAAAAZHJzL2Rvd25yZXYueG1sUEsBAhQAFAAAAAgAh07i&#10;QN6iDBAgAgAACgQAAA4AAAAAAAAAAQAgAAAAKQEAAGRycy9lMm9Eb2MueG1sUEsFBgAAAAAGAAYA&#10;WQEAALs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lang w:eastAsia="zh-CN"/>
                        </w:rPr>
                      </w:pPr>
                      <w:r>
                        <w:rPr>
                          <w:rFonts w:hint="eastAsia" w:ascii="方正小标宋简体" w:hAnsi="方正小标宋简体" w:eastAsia="方正小标宋简体" w:cs="方正小标宋简体"/>
                          <w:b/>
                          <w:bCs w:val="0"/>
                          <w:color w:val="FF0000"/>
                          <w:spacing w:val="0"/>
                          <w:w w:val="38"/>
                          <w:kern w:val="0"/>
                          <w:sz w:val="144"/>
                          <w:szCs w:val="56"/>
                          <w:fitText w:val="8312" w:id="947393804"/>
                          <w:lang w:val="en" w:eastAsia="zh-CN"/>
                        </w:rPr>
                        <w:t>济宁市公共资源交易服务中心</w:t>
                      </w:r>
                      <w:r>
                        <w:rPr>
                          <w:rFonts w:hint="eastAsia" w:ascii="方正小标宋简体" w:hAnsi="方正小标宋简体" w:eastAsia="方正小标宋简体" w:cs="方正小标宋简体"/>
                          <w:b/>
                          <w:bCs w:val="0"/>
                          <w:color w:val="FF0000"/>
                          <w:spacing w:val="0"/>
                          <w:w w:val="38"/>
                          <w:kern w:val="0"/>
                          <w:sz w:val="144"/>
                          <w:szCs w:val="56"/>
                          <w:fitText w:val="8312" w:id="947393804"/>
                          <w:lang w:val="en-US" w:eastAsia="zh-CN"/>
                        </w:rPr>
                        <w:t>文</w:t>
                      </w:r>
                      <w:r>
                        <w:rPr>
                          <w:rFonts w:hint="eastAsia" w:ascii="方正小标宋简体" w:hAnsi="方正小标宋简体" w:eastAsia="方正小标宋简体" w:cs="方正小标宋简体"/>
                          <w:b/>
                          <w:bCs w:val="0"/>
                          <w:color w:val="FF0000"/>
                          <w:spacing w:val="-20"/>
                          <w:w w:val="38"/>
                          <w:kern w:val="0"/>
                          <w:sz w:val="144"/>
                          <w:szCs w:val="56"/>
                          <w:fitText w:val="8312" w:id="947393804"/>
                          <w:lang w:val="en-US" w:eastAsia="zh-CN"/>
                        </w:rPr>
                        <w:t>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方正小标宋简体" w:hAnsi="方正小标宋简体" w:eastAsia="方正楷体简体" w:cs="方正小标宋简体"/>
          <w:b/>
          <w:bCs/>
          <w:sz w:val="44"/>
          <w:szCs w:val="44"/>
          <w:lang w:val="en-US" w:eastAsia="zh-CN"/>
        </w:rPr>
      </w:pPr>
      <w:r>
        <w:rPr>
          <w:rFonts w:hint="eastAsia" w:ascii="方正楷体简体" w:hAnsi="方正楷体简体" w:eastAsia="方正楷体简体" w:cs="方正楷体简体"/>
          <w:b/>
          <w:bCs/>
          <w:i w:val="0"/>
          <w:iCs w:val="0"/>
          <w:caps w:val="0"/>
          <w:color w:val="auto"/>
          <w:spacing w:val="0"/>
          <w:sz w:val="32"/>
          <w:szCs w:val="24"/>
          <w:shd w:val="clear" w:color="auto" w:fill="FFFFFF"/>
          <w:lang w:val="en-US" w:eastAsia="zh-CN"/>
        </w:rPr>
        <w:t xml:space="preserve"> </w:t>
      </w:r>
      <w:r>
        <w:rPr>
          <w:rFonts w:hint="eastAsia" w:ascii="方正仿宋简体" w:hAnsi="方正仿宋简体" w:eastAsia="方正仿宋简体" w:cs="方正仿宋简体"/>
          <w:b/>
          <w:bCs/>
          <w:i w:val="0"/>
          <w:iCs w:val="0"/>
          <w:caps w:val="0"/>
          <w:color w:val="auto"/>
          <w:spacing w:val="0"/>
          <w:sz w:val="32"/>
          <w:szCs w:val="24"/>
          <w:shd w:val="clear" w:color="auto" w:fill="FFFFFF"/>
          <w:lang w:val="en-US" w:eastAsia="zh-CN"/>
        </w:rPr>
        <w:t>济公资中心</w:t>
      </w:r>
      <w:r>
        <w:rPr>
          <w:rFonts w:hint="eastAsia" w:ascii="方正仿宋简体" w:hAnsi="方正仿宋简体" w:eastAsia="方正仿宋简体" w:cs="方正仿宋简体"/>
          <w:b/>
          <w:bCs/>
          <w:i w:val="0"/>
          <w:iCs w:val="0"/>
          <w:caps w:val="0"/>
          <w:color w:val="auto"/>
          <w:spacing w:val="0"/>
          <w:sz w:val="32"/>
          <w:szCs w:val="24"/>
          <w:shd w:val="clear" w:color="auto" w:fill="FFFFFF"/>
        </w:rPr>
        <w:t>发〔202</w:t>
      </w:r>
      <w:r>
        <w:rPr>
          <w:rFonts w:hint="eastAsia" w:ascii="方正仿宋简体" w:hAnsi="方正仿宋简体" w:cs="方正仿宋简体"/>
          <w:b/>
          <w:bCs/>
          <w:i w:val="0"/>
          <w:iCs w:val="0"/>
          <w:caps w:val="0"/>
          <w:color w:val="auto"/>
          <w:spacing w:val="0"/>
          <w:sz w:val="32"/>
          <w:szCs w:val="24"/>
          <w:shd w:val="clear" w:color="auto" w:fill="FFFFFF"/>
          <w:lang w:val="en-US" w:eastAsia="zh-CN"/>
        </w:rPr>
        <w:t>4</w:t>
      </w:r>
      <w:r>
        <w:rPr>
          <w:rFonts w:hint="eastAsia" w:ascii="方正仿宋简体" w:hAnsi="方正仿宋简体" w:eastAsia="方正仿宋简体" w:cs="方正仿宋简体"/>
          <w:b/>
          <w:bCs/>
          <w:i w:val="0"/>
          <w:iCs w:val="0"/>
          <w:caps w:val="0"/>
          <w:color w:val="auto"/>
          <w:spacing w:val="0"/>
          <w:sz w:val="32"/>
          <w:szCs w:val="24"/>
          <w:shd w:val="clear" w:color="auto" w:fill="FFFFFF"/>
        </w:rPr>
        <w:t>〕</w:t>
      </w:r>
      <w:r>
        <w:rPr>
          <w:rFonts w:hint="eastAsia" w:ascii="方正仿宋简体" w:hAnsi="方正仿宋简体" w:cs="方正仿宋简体"/>
          <w:b/>
          <w:bCs/>
          <w:i w:val="0"/>
          <w:iCs w:val="0"/>
          <w:caps w:val="0"/>
          <w:color w:val="auto"/>
          <w:spacing w:val="0"/>
          <w:sz w:val="32"/>
          <w:szCs w:val="24"/>
          <w:shd w:val="clear" w:color="auto" w:fill="FFFFFF"/>
          <w:lang w:val="en-US" w:eastAsia="zh-CN"/>
        </w:rPr>
        <w:t>3</w:t>
      </w:r>
      <w:r>
        <w:rPr>
          <w:rFonts w:hint="eastAsia" w:ascii="方正仿宋简体" w:hAnsi="方正仿宋简体" w:eastAsia="方正仿宋简体" w:cs="方正仿宋简体"/>
          <w:b/>
          <w:bCs/>
          <w:i w:val="0"/>
          <w:iCs w:val="0"/>
          <w:caps w:val="0"/>
          <w:color w:val="auto"/>
          <w:spacing w:val="0"/>
          <w:sz w:val="32"/>
          <w:szCs w:val="24"/>
          <w:shd w:val="clear" w:color="auto" w:fill="FFFFFF"/>
        </w:rPr>
        <w:t>号</w:t>
      </w:r>
      <w:r>
        <w:rPr>
          <w:rFonts w:hint="eastAsia" w:ascii="方正楷体简体" w:hAnsi="方正楷体简体" w:eastAsia="方正楷体简体" w:cs="方正楷体简体"/>
          <w:b/>
          <w:bCs/>
          <w:i w:val="0"/>
          <w:iCs w:val="0"/>
          <w:caps w:val="0"/>
          <w:color w:val="auto"/>
          <w:spacing w:val="0"/>
          <w:sz w:val="32"/>
          <w:szCs w:val="24"/>
          <w:shd w:val="clear" w:color="auto" w:fill="FFFFFF"/>
          <w:lang w:val="en-US" w:eastAsia="zh-CN"/>
        </w:rPr>
        <w:t xml:space="preserve">               </w:t>
      </w:r>
      <w:r>
        <w:rPr>
          <w:rFonts w:hint="eastAsia" w:ascii="方正仿宋简体" w:hAnsi="方正仿宋简体" w:eastAsia="方正仿宋简体" w:cs="方正仿宋简体"/>
          <w:b/>
          <w:bCs/>
          <w:i w:val="0"/>
          <w:iCs w:val="0"/>
          <w:caps w:val="0"/>
          <w:color w:val="auto"/>
          <w:spacing w:val="0"/>
          <w:sz w:val="32"/>
          <w:szCs w:val="24"/>
          <w:shd w:val="clear" w:color="auto" w:fill="FFFFFF"/>
          <w:lang w:val="en-US" w:eastAsia="zh-CN"/>
        </w:rPr>
        <w:t>签发人：</w:t>
      </w:r>
      <w:r>
        <w:rPr>
          <w:rFonts w:hint="eastAsia" w:ascii="方正楷体简体" w:hAnsi="方正楷体简体" w:eastAsia="方正楷体简体" w:cs="方正楷体简体"/>
          <w:b/>
          <w:bCs/>
          <w:i w:val="0"/>
          <w:iCs w:val="0"/>
          <w:caps w:val="0"/>
          <w:color w:val="auto"/>
          <w:spacing w:val="0"/>
          <w:sz w:val="32"/>
          <w:szCs w:val="24"/>
          <w:shd w:val="clear" w:color="auto" w:fill="FFFFFF"/>
          <w:lang w:val="en-US" w:eastAsia="zh-CN"/>
        </w:rPr>
        <w:t xml:space="preserve">王建华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bCs/>
          <w:i w:val="0"/>
          <w:iCs w:val="0"/>
          <w:caps w:val="0"/>
          <w:color w:val="auto"/>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简体" w:hAnsi="方正仿宋简体" w:eastAsia="方正仿宋简体" w:cs="方正仿宋简体"/>
          <w:b/>
          <w:bCs/>
          <w:sz w:val="32"/>
          <w:szCs w:val="32"/>
        </w:rPr>
      </w:pPr>
      <w:r>
        <w:rPr>
          <w:rFonts w:hint="eastAsia" w:ascii="方正小标宋简体" w:hAnsi="方正小标宋简体" w:eastAsia="方正小标宋简体" w:cs="方正小标宋简体"/>
          <w:b/>
          <w:bCs/>
          <w:i w:val="0"/>
          <w:iCs w:val="0"/>
          <w:caps w:val="0"/>
          <w:color w:val="auto"/>
          <w:spacing w:val="0"/>
          <w:kern w:val="0"/>
          <w:sz w:val="44"/>
          <w:szCs w:val="44"/>
          <w:shd w:val="clear" w:color="auto" w:fill="FFFFFF"/>
          <w:lang w:val="en-US" w:eastAsia="zh-CN" w:bidi="ar"/>
        </w:rPr>
        <w:t>关于印发《济宁市公共资源交易市域内远程异地评标服务细则（试行）》的通知</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方正仿宋简体" w:hAnsi="方正仿宋简体" w:eastAsia="方正仿宋简体" w:cs="方正仿宋简体"/>
          <w:b/>
          <w:bCs/>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ge">
                  <wp:posOffset>4021455</wp:posOffset>
                </wp:positionV>
                <wp:extent cx="5579745" cy="635"/>
                <wp:effectExtent l="0" t="13970" r="1905" b="23495"/>
                <wp:wrapTopAndBottom/>
                <wp:docPr id="2" name="直线 2"/>
                <wp:cNvGraphicFramePr/>
                <a:graphic xmlns:a="http://schemas.openxmlformats.org/drawingml/2006/main">
                  <a:graphicData uri="http://schemas.microsoft.com/office/word/2010/wordprocessingShape">
                    <wps:wsp>
                      <wps:cNvCnPr/>
                      <wps:spPr>
                        <a:xfrm>
                          <a:off x="0" y="0"/>
                          <a:ext cx="5579745" cy="635"/>
                        </a:xfrm>
                        <a:prstGeom prst="line">
                          <a:avLst/>
                        </a:prstGeom>
                        <a:ln w="28575" cap="flat" cmpd="sng">
                          <a:solidFill>
                            <a:srgbClr val="FF0000"/>
                          </a:solidFill>
                          <a:prstDash val="solid"/>
                          <a:headEnd type="none" w="med" len="med"/>
                          <a:tailEnd type="none" w="med" len="med"/>
                        </a:ln>
                        <a:effectLst/>
                      </wps:spPr>
                      <wps:bodyPr upright="0"/>
                    </wps:wsp>
                  </a:graphicData>
                </a:graphic>
              </wp:anchor>
            </w:drawing>
          </mc:Choice>
          <mc:Fallback>
            <w:pict>
              <v:line id="直线 2" o:spid="_x0000_s1026" o:spt="20" style="position:absolute;left:0pt;margin-top:316.65pt;height:0.05pt;width:439.35pt;mso-position-horizontal:center;mso-position-vertical-relative:page;mso-wrap-distance-bottom:0pt;mso-wrap-distance-top:0pt;z-index:251660288;mso-width-relative:page;mso-height-relative:page;" filled="f" stroked="t" coordsize="21600,21600" o:gfxdata="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C/UT1wAAAAgBAAAPAAAAAAAAAAEAIAAAACIAAABkcnMvZG93bnJldi54bWxQSwECFAAUAAAA&#10;CACHTuJAU0oQRO8BAADsAwAADgAAAAAAAAABACAAAAAmAQAAZHJzL2Uyb0RvYy54bWxQSwUGAAAA&#10;AAYABgBZAQAAhwUAAAAA&#10;">
                <v:fill on="f" focussize="0,0"/>
                <v:stroke weight="2.25pt" color="#FF0000" joinstyle="round"/>
                <v:imagedata o:title=""/>
                <o:lock v:ext="edit" aspectratio="f"/>
                <w10:wrap type="topAndBottom"/>
              </v:lin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outlineLvl w:val="9"/>
        <w:rPr>
          <w:rFonts w:ascii="Calibri" w:hAnsi="Calibri" w:eastAsia="方正仿宋简体" w:cs="Times New Roman"/>
          <w:b/>
          <w:bCs/>
          <w:color w:val="auto"/>
          <w:kern w:val="0"/>
          <w:sz w:val="32"/>
          <w:szCs w:val="24"/>
          <w:lang w:val="en-US" w:eastAsia="zh-CN" w:bidi="ar"/>
        </w:rPr>
      </w:pPr>
      <w:r>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t>各科室、县（市、区）分中心：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ascii="Calibri" w:hAnsi="Calibri" w:eastAsia="方正仿宋简体" w:cs="Times New Roman"/>
          <w:b/>
          <w:bCs/>
          <w:color w:val="auto"/>
          <w:kern w:val="0"/>
          <w:sz w:val="32"/>
          <w:szCs w:val="24"/>
          <w:lang w:val="en-US" w:eastAsia="zh-CN" w:bidi="ar"/>
        </w:rPr>
      </w:pPr>
      <w:r>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t>现将《济宁市公共资源交易市域内远程异地评标服务细则（试行）》印发给你们，请认真贯彻落实。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r>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t>附件：济宁市公共资源交易市域内远程异地评标服务细则（试行）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default"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right"/>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r>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t>济宁市公共资源交易服务中心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right"/>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r>
        <w:rPr>
          <w:rFonts w:hint="eastAsia" w:ascii="宋体" w:hAnsi="宋体" w:cs="宋体"/>
          <w:b/>
          <w:bCs/>
          <w:i w:val="0"/>
          <w:iCs w:val="0"/>
          <w:caps w:val="0"/>
          <w:color w:val="auto"/>
          <w:spacing w:val="0"/>
          <w:kern w:val="0"/>
          <w:sz w:val="32"/>
          <w:szCs w:val="24"/>
          <w:shd w:val="clear" w:color="auto" w:fill="FFFFFF"/>
          <w:lang w:val="en-US" w:eastAsia="zh-CN" w:bidi="ar"/>
        </w:rPr>
        <w:t xml:space="preserve">2024年6月17日    </w:t>
      </w:r>
    </w:p>
    <w:p>
      <w:pPr>
        <w:rPr>
          <w:rFonts w:hint="default" w:ascii="方正仿宋简体" w:hAnsi="方正仿宋简体" w:eastAsia="方正仿宋简体" w:cs="方正仿宋简体"/>
          <w:b/>
          <w:bCs/>
          <w:sz w:val="32"/>
          <w:szCs w:val="32"/>
          <w:lang w:val="en-US"/>
        </w:rPr>
      </w:pPr>
      <w:r>
        <w:rPr>
          <w:rFonts w:hint="default" w:ascii="方正仿宋简体" w:hAnsi="方正仿宋简体" w:eastAsia="方正仿宋简体" w:cs="方正仿宋简体"/>
          <w:b/>
          <w:bCs/>
          <w:sz w:val="32"/>
          <w:szCs w:val="32"/>
          <w:lang w:val="en-US"/>
        </w:rPr>
        <w:br w:type="page"/>
      </w: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方正黑体简体" w:hAnsi="方正黑体简体" w:eastAsia="方正黑体简体" w:cs="方正黑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方正仿宋简体" w:hAnsi="方正仿宋简体" w:cs="方正仿宋简体"/>
          <w:b/>
          <w:bCs/>
          <w:sz w:val="32"/>
          <w:szCs w:val="32"/>
          <w:lang w:val="en-US" w:eastAsia="zh-CN"/>
        </w:rPr>
      </w:pPr>
      <w:r>
        <w:rPr>
          <w:rFonts w:hint="eastAsia" w:ascii="方正黑体简体" w:hAnsi="方正黑体简体" w:eastAsia="方正黑体简体" w:cs="方正黑体简体"/>
          <w:b/>
          <w:bCs/>
          <w:sz w:val="32"/>
          <w:szCs w:val="32"/>
          <w:lang w:val="en-US" w:eastAsia="zh-CN"/>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9"/>
        <w:rPr>
          <w:rFonts w:hint="eastAsia" w:ascii="方正小标宋简体" w:hAnsi="方正小标宋简体" w:eastAsia="方正小标宋简体" w:cs="方正小标宋简体"/>
          <w:b/>
          <w:bCs/>
          <w:i w:val="0"/>
          <w:iCs w:val="0"/>
          <w:caps w:val="0"/>
          <w:color w:val="auto"/>
          <w:spacing w:val="0"/>
          <w:kern w:val="0"/>
          <w:sz w:val="44"/>
          <w:szCs w:val="44"/>
          <w:shd w:val="clear" w:color="auto" w:fill="FFFFFF"/>
          <w:lang w:val="en-US" w:eastAsia="zh-CN" w:bidi="ar"/>
        </w:rPr>
      </w:pPr>
      <w:bookmarkStart w:id="0" w:name="bookmark6"/>
      <w:bookmarkStart w:id="1" w:name="bookmark4"/>
      <w:bookmarkStart w:id="2" w:name="bookmark3"/>
      <w:r>
        <w:rPr>
          <w:rFonts w:hint="eastAsia" w:ascii="方正小标宋简体" w:hAnsi="方正小标宋简体" w:eastAsia="方正小标宋简体" w:cs="方正小标宋简体"/>
          <w:b/>
          <w:bCs/>
          <w:i w:val="0"/>
          <w:iCs w:val="0"/>
          <w:caps w:val="0"/>
          <w:color w:val="auto"/>
          <w:spacing w:val="0"/>
          <w:kern w:val="0"/>
          <w:sz w:val="44"/>
          <w:szCs w:val="44"/>
          <w:shd w:val="clear" w:color="auto" w:fill="FFFFFF"/>
          <w:lang w:val="en-US" w:eastAsia="zh-CN" w:bidi="ar"/>
        </w:rPr>
        <w:t>济宁市公共资源交易市域内远程异地评标服务细则（试行）</w:t>
      </w:r>
      <w:bookmarkEnd w:id="0"/>
      <w:bookmarkEnd w:id="1"/>
      <w:bookmarkEnd w:id="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widowControl/>
        <w:shd w:val="clear" w:color="auto" w:fill="FFFFFF"/>
        <w:spacing w:line="405" w:lineRule="atLeast"/>
        <w:ind w:firstLine="0" w:firstLineChars="0"/>
        <w:jc w:val="center"/>
        <w:rPr>
          <w:rFonts w:hint="eastAsia" w:ascii="黑体" w:hAnsi="黑体" w:eastAsia="黑体" w:cs="Helvetica"/>
          <w:b/>
          <w:bCs/>
          <w:color w:val="000000"/>
          <w:kern w:val="0"/>
          <w:sz w:val="32"/>
          <w:szCs w:val="32"/>
        </w:rPr>
      </w:pPr>
      <w:r>
        <w:rPr>
          <w:rFonts w:hint="eastAsia" w:ascii="黑体" w:hAnsi="黑体" w:eastAsia="黑体" w:cs="Helvetica"/>
          <w:b/>
          <w:bCs/>
          <w:color w:val="000000"/>
          <w:kern w:val="0"/>
          <w:sz w:val="32"/>
          <w:szCs w:val="32"/>
        </w:rPr>
        <w:t>第一章</w:t>
      </w:r>
      <w:r>
        <w:rPr>
          <w:rFonts w:hint="eastAsia" w:ascii="宋体" w:hAnsi="宋体" w:eastAsia="宋体" w:cs="宋体"/>
          <w:b/>
          <w:bCs/>
          <w:color w:val="000000"/>
          <w:kern w:val="0"/>
          <w:sz w:val="32"/>
          <w:szCs w:val="32"/>
        </w:rPr>
        <w:t xml:space="preserve">  </w:t>
      </w:r>
      <w:r>
        <w:rPr>
          <w:rFonts w:hint="eastAsia" w:ascii="黑体" w:hAnsi="黑体" w:eastAsia="黑体" w:cs="Helvetica"/>
          <w:b/>
          <w:bCs/>
          <w:color w:val="000000"/>
          <w:kern w:val="0"/>
          <w:sz w:val="32"/>
          <w:szCs w:val="32"/>
        </w:rPr>
        <w:t>总    则</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both"/>
        <w:textAlignment w:val="auto"/>
        <w:rPr>
          <w:rFonts w:hint="eastAsia" w:ascii="方正仿宋简体" w:hAnsi="方正仿宋简体" w:eastAsia="方正仿宋简体" w:cs="方正仿宋简体"/>
          <w:b/>
          <w:bCs w:val="0"/>
          <w:color w:val="000000" w:themeColor="text1"/>
          <w:sz w:val="32"/>
          <w:szCs w:val="32"/>
          <w:highlight w:val="none"/>
          <w14:textFill>
            <w14:solidFill>
              <w14:schemeClr w14:val="tx1"/>
            </w14:solidFill>
          </w14:textFill>
        </w:rPr>
      </w:pP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sz w:val="32"/>
          <w:szCs w:val="32"/>
          <w:lang w:eastAsia="zh-CN"/>
          <w14:textFill>
            <w14:solidFill>
              <w14:schemeClr w14:val="tx1"/>
            </w14:solidFill>
          </w14:textFill>
        </w:rPr>
        <w:t>一</w:t>
      </w: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b/>
          <w:bCs w:val="0"/>
          <w:sz w:val="32"/>
          <w:szCs w:val="32"/>
        </w:rPr>
        <w:t>为</w:t>
      </w:r>
      <w:r>
        <w:rPr>
          <w:rFonts w:hint="eastAsia" w:ascii="方正仿宋简体" w:hAnsi="方正仿宋简体" w:eastAsia="方正仿宋简体" w:cs="方正仿宋简体"/>
          <w:b/>
          <w:bCs w:val="0"/>
          <w:sz w:val="32"/>
          <w:szCs w:val="32"/>
          <w:lang w:val="en-US" w:eastAsia="zh-CN"/>
        </w:rPr>
        <w:t>规范市域内公共资源交易远程异地评标活动，我中心</w:t>
      </w:r>
      <w:r>
        <w:rPr>
          <w:rFonts w:hint="eastAsia" w:ascii="方正仿宋简体" w:hAnsi="方正仿宋简体" w:eastAsia="方正仿宋简体" w:cs="方正仿宋简体"/>
          <w:b/>
          <w:bCs w:val="0"/>
          <w:sz w:val="32"/>
          <w:szCs w:val="32"/>
          <w:lang w:eastAsia="zh-CN"/>
        </w:rPr>
        <w:t>根据《公共资源交易平台管理暂行办法》</w:t>
      </w:r>
      <w:r>
        <w:rPr>
          <w:rFonts w:hint="eastAsia" w:ascii="方正仿宋简体" w:hAnsi="方正仿宋简体" w:eastAsia="方正仿宋简体" w:cs="方正仿宋简体"/>
          <w:b/>
          <w:bCs w:val="0"/>
          <w:sz w:val="32"/>
          <w:szCs w:val="32"/>
          <w:lang w:val="en-US" w:eastAsia="zh-CN"/>
        </w:rPr>
        <w:t>《山东省公共资源交易远程异地评标实施方案》</w:t>
      </w:r>
      <w:r>
        <w:rPr>
          <w:rFonts w:hint="eastAsia" w:ascii="方正仿宋简体" w:hAnsi="方正仿宋简体" w:eastAsia="方正仿宋简体" w:cs="方正仿宋简体"/>
          <w:b/>
          <w:bCs w:val="0"/>
          <w:sz w:val="32"/>
          <w:szCs w:val="32"/>
          <w:highlight w:val="none"/>
          <w:lang w:val="en-US" w:eastAsia="zh-CN"/>
        </w:rPr>
        <w:t>《山东省公共资源交易工程建设项目远程异地评标管理办法》</w:t>
      </w:r>
      <w:r>
        <w:rPr>
          <w:rFonts w:hint="eastAsia" w:ascii="方正仿宋简体" w:hAnsi="方正仿宋简体" w:eastAsia="方正仿宋简体" w:cs="方正仿宋简体"/>
          <w:b/>
          <w:bCs w:val="0"/>
          <w:sz w:val="32"/>
          <w:szCs w:val="32"/>
          <w:lang w:val="en-US" w:eastAsia="zh-CN"/>
        </w:rPr>
        <w:t>《济宁市公共资源交易业务工作规程》</w:t>
      </w:r>
      <w:r>
        <w:rPr>
          <w:rFonts w:hint="eastAsia" w:ascii="方正仿宋简体" w:hAnsi="方正仿宋简体" w:eastAsia="方正仿宋简体" w:cs="方正仿宋简体"/>
          <w:b/>
          <w:bCs w:val="0"/>
          <w:sz w:val="32"/>
          <w:szCs w:val="32"/>
          <w:lang w:eastAsia="zh-CN"/>
        </w:rPr>
        <w:t>等法律法规规章，</w:t>
      </w:r>
      <w:r>
        <w:rPr>
          <w:rFonts w:hint="eastAsia" w:ascii="方正仿宋简体" w:hAnsi="方正仿宋简体" w:eastAsia="方正仿宋简体" w:cs="方正仿宋简体"/>
          <w:b/>
          <w:bCs w:val="0"/>
          <w:color w:val="000000" w:themeColor="text1"/>
          <w:sz w:val="32"/>
          <w:szCs w:val="32"/>
          <w:highlight w:val="none"/>
          <w14:textFill>
            <w14:solidFill>
              <w14:schemeClr w14:val="tx1"/>
            </w14:solidFill>
          </w14:textFill>
        </w:rPr>
        <w:t>结合</w:t>
      </w:r>
      <w:r>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t>实际工作</w:t>
      </w:r>
      <w:r>
        <w:rPr>
          <w:rFonts w:hint="eastAsia" w:ascii="方正仿宋简体" w:hAnsi="方正仿宋简体" w:eastAsia="方正仿宋简体" w:cs="方正仿宋简体"/>
          <w:b/>
          <w:bCs w:val="0"/>
          <w:color w:val="000000" w:themeColor="text1"/>
          <w:sz w:val="32"/>
          <w:szCs w:val="32"/>
          <w:highlight w:val="none"/>
          <w14:textFill>
            <w14:solidFill>
              <w14:schemeClr w14:val="tx1"/>
            </w14:solidFill>
          </w14:textFill>
        </w:rPr>
        <w:t>，</w:t>
      </w:r>
      <w:r>
        <w:rPr>
          <w:rFonts w:hint="eastAsia" w:ascii="方正仿宋简体" w:hAnsi="方正仿宋简体" w:eastAsia="方正仿宋简体" w:cs="方正仿宋简体"/>
          <w:b/>
          <w:bCs w:val="0"/>
          <w:color w:val="000000" w:themeColor="text1"/>
          <w:sz w:val="32"/>
          <w:szCs w:val="32"/>
          <w:highlight w:val="none"/>
          <w:lang w:val="en-US" w:eastAsia="zh-CN"/>
          <w14:textFill>
            <w14:solidFill>
              <w14:schemeClr w14:val="tx1"/>
            </w14:solidFill>
          </w14:textFill>
        </w:rPr>
        <w:t>特</w:t>
      </w:r>
      <w:r>
        <w:rPr>
          <w:rFonts w:hint="eastAsia" w:ascii="方正仿宋简体" w:hAnsi="方正仿宋简体" w:eastAsia="方正仿宋简体" w:cs="方正仿宋简体"/>
          <w:b/>
          <w:bCs w:val="0"/>
          <w:color w:val="000000" w:themeColor="text1"/>
          <w:sz w:val="32"/>
          <w:szCs w:val="32"/>
          <w:highlight w:val="none"/>
          <w14:textFill>
            <w14:solidFill>
              <w14:schemeClr w14:val="tx1"/>
            </w14:solidFill>
          </w14:textFill>
        </w:rPr>
        <w:t>制定本</w:t>
      </w:r>
      <w:r>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t>细则</w:t>
      </w:r>
      <w:r>
        <w:rPr>
          <w:rFonts w:hint="eastAsia" w:ascii="方正仿宋简体" w:hAnsi="方正仿宋简体" w:eastAsia="方正仿宋简体" w:cs="方正仿宋简体"/>
          <w:b/>
          <w:bCs w:val="0"/>
          <w:color w:val="000000" w:themeColor="text1"/>
          <w:sz w:val="32"/>
          <w:szCs w:val="32"/>
          <w:highlight w:val="none"/>
          <w14:textFill>
            <w14:solidFill>
              <w14:schemeClr w14:val="tx1"/>
            </w14:solidFill>
          </w14:textFill>
        </w:rPr>
        <w:t>。</w:t>
      </w:r>
    </w:p>
    <w:p>
      <w:pPr>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sz w:val="32"/>
          <w:szCs w:val="32"/>
          <w:lang w:eastAsia="zh-CN"/>
          <w14:textFill>
            <w14:solidFill>
              <w14:schemeClr w14:val="tx1"/>
            </w14:solidFill>
          </w14:textFill>
        </w:rPr>
        <w:t>二</w:t>
      </w: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sz w:val="32"/>
          <w:szCs w:val="32"/>
          <w:lang w:val="en-US" w:eastAsia="zh-CN"/>
          <w14:textFill>
            <w14:solidFill>
              <w14:schemeClr w14:val="tx1"/>
            </w14:solidFill>
          </w14:textFill>
        </w:rPr>
        <w:t xml:space="preserve">  本细则所称市域内远程异地评标是指依托市公共资源电子交易系统、通过市公共资源交易远程异地评标协调系统，在省公共资源交易综合评标评审专家库抽取评标专家，组建评标委员会，利用“互联网+”等信息技术实现评标专家在两个以上评标场地完成的评标活动。</w:t>
      </w:r>
    </w:p>
    <w:p>
      <w:pPr>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val="0"/>
          <w:color w:val="000000" w:themeColor="text1"/>
          <w:sz w:val="32"/>
          <w:szCs w:val="32"/>
          <w:lang w:val="en-US" w:eastAsia="zh-CN"/>
          <w14:textFill>
            <w14:solidFill>
              <w14:schemeClr w14:val="tx1"/>
            </w14:solidFill>
          </w14:textFill>
        </w:rPr>
        <w:t>第三条  市域内远程异地评标场地是指由县市区公共资源交易中心建设，符合远程异地评标要求的评标场所。项目受理所在地公共资源交易中心评标场所为主场，其他评标场所为副场。</w:t>
      </w:r>
    </w:p>
    <w:p>
      <w:pPr>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pPr>
      <w:r>
        <w:rPr>
          <w:rFonts w:hint="eastAsia" w:ascii="方正仿宋简体" w:hAnsi="方正仿宋简体" w:eastAsia="方正仿宋简体" w:cs="方正仿宋简体"/>
          <w:b/>
          <w:bCs w:val="0"/>
          <w:color w:val="000000" w:themeColor="text1"/>
          <w:sz w:val="32"/>
          <w:szCs w:val="32"/>
          <w:highlight w:val="none"/>
          <w14:textFill>
            <w14:solidFill>
              <w14:schemeClr w14:val="tx1"/>
            </w14:solidFill>
          </w14:textFill>
        </w:rPr>
        <w:t>第</w:t>
      </w:r>
      <w:r>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t>四</w:t>
      </w:r>
      <w:r>
        <w:rPr>
          <w:rFonts w:hint="eastAsia" w:ascii="方正仿宋简体" w:hAnsi="方正仿宋简体" w:eastAsia="方正仿宋简体" w:cs="方正仿宋简体"/>
          <w:b/>
          <w:bCs w:val="0"/>
          <w:color w:val="000000" w:themeColor="text1"/>
          <w:sz w:val="32"/>
          <w:szCs w:val="32"/>
          <w:highlight w:val="none"/>
          <w14:textFill>
            <w14:solidFill>
              <w14:schemeClr w14:val="tx1"/>
            </w14:solidFill>
          </w14:textFill>
        </w:rPr>
        <w:t>条</w:t>
      </w:r>
      <w:r>
        <w:rPr>
          <w:rFonts w:hint="eastAsia" w:ascii="方正仿宋简体" w:hAnsi="方正仿宋简体" w:eastAsia="方正仿宋简体" w:cs="方正仿宋简体"/>
          <w:b/>
          <w:bCs w:val="0"/>
          <w:color w:val="000000" w:themeColor="text1"/>
          <w:sz w:val="32"/>
          <w:szCs w:val="32"/>
          <w:highlight w:val="none"/>
          <w:lang w:val="en-US" w:eastAsia="zh-CN"/>
          <w14:textFill>
            <w14:solidFill>
              <w14:schemeClr w14:val="tx1"/>
            </w14:solidFill>
          </w14:textFill>
        </w:rPr>
        <w:t xml:space="preserve">  </w:t>
      </w:r>
      <w:r>
        <w:rPr>
          <w:rFonts w:hint="eastAsia" w:ascii="方正仿宋简体" w:hAnsi="方正仿宋简体" w:eastAsia="方正仿宋简体" w:cs="方正仿宋简体"/>
          <w:b/>
          <w:bCs w:val="0"/>
          <w:sz w:val="32"/>
          <w:szCs w:val="32"/>
          <w:lang w:val="en-US" w:eastAsia="zh-CN"/>
        </w:rPr>
        <w:t>市域内</w:t>
      </w:r>
      <w:r>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t>远程异地评标项目，</w:t>
      </w:r>
      <w:r>
        <w:rPr>
          <w:rFonts w:hint="eastAsia" w:ascii="方正仿宋简体" w:hAnsi="方正仿宋简体" w:eastAsia="方正仿宋简体" w:cs="方正仿宋简体"/>
          <w:b/>
          <w:bCs w:val="0"/>
          <w:color w:val="000000" w:themeColor="text1"/>
          <w:sz w:val="32"/>
          <w:szCs w:val="32"/>
          <w:lang w:val="en-US" w:eastAsia="zh-CN"/>
          <w14:textFill>
            <w14:solidFill>
              <w14:schemeClr w14:val="tx1"/>
            </w14:solidFill>
          </w14:textFill>
        </w:rPr>
        <w:t>由</w:t>
      </w: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主副场</w:t>
      </w:r>
      <w:r>
        <w:rPr>
          <w:rFonts w:hint="eastAsia" w:ascii="方正仿宋简体" w:hAnsi="方正仿宋简体" w:eastAsia="方正仿宋简体" w:cs="方正仿宋简体"/>
          <w:b/>
          <w:bCs w:val="0"/>
          <w:color w:val="000000" w:themeColor="text1"/>
          <w:sz w:val="32"/>
          <w:szCs w:val="32"/>
          <w:lang w:val="en-US" w:eastAsia="zh-CN"/>
          <w14:textFill>
            <w14:solidFill>
              <w14:schemeClr w14:val="tx1"/>
            </w14:solidFill>
          </w14:textFill>
        </w:rPr>
        <w:t>公共资源交易中心</w:t>
      </w:r>
      <w:r>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t>相关科室</w:t>
      </w:r>
      <w:r>
        <w:rPr>
          <w:rFonts w:hint="eastAsia" w:ascii="方正仿宋简体" w:hAnsi="方正仿宋简体" w:eastAsia="方正仿宋简体" w:cs="方正仿宋简体"/>
          <w:b/>
          <w:bCs w:val="0"/>
          <w:color w:val="000000" w:themeColor="text1"/>
          <w:sz w:val="32"/>
          <w:szCs w:val="32"/>
          <w:highlight w:val="none"/>
          <w:lang w:val="en-US" w:eastAsia="zh-CN"/>
          <w14:textFill>
            <w14:solidFill>
              <w14:schemeClr w14:val="tx1"/>
            </w14:solidFill>
          </w14:textFill>
        </w:rPr>
        <w:t>具体实施</w:t>
      </w:r>
      <w:r>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sz w:val="32"/>
          <w:szCs w:val="32"/>
          <w:highlight w:val="none"/>
          <w:lang w:val="en-US" w:eastAsia="zh-CN"/>
          <w14:textFill>
            <w14:solidFill>
              <w14:schemeClr w14:val="tx1"/>
            </w14:solidFill>
          </w14:textFill>
        </w:rPr>
        <w:t>并通过</w:t>
      </w:r>
      <w:r>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t>数字见证</w:t>
      </w:r>
      <w:r>
        <w:rPr>
          <w:rFonts w:hint="eastAsia" w:ascii="方正仿宋简体" w:hAnsi="方正仿宋简体" w:eastAsia="方正仿宋简体" w:cs="方正仿宋简体"/>
          <w:b/>
          <w:bCs w:val="0"/>
          <w:color w:val="000000" w:themeColor="text1"/>
          <w:sz w:val="32"/>
          <w:szCs w:val="32"/>
          <w:highlight w:val="none"/>
          <w:lang w:val="en-US" w:eastAsia="zh-CN"/>
          <w14:textFill>
            <w14:solidFill>
              <w14:schemeClr w14:val="tx1"/>
            </w14:solidFill>
          </w14:textFill>
        </w:rPr>
        <w:t>室</w:t>
      </w:r>
      <w:r>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t>提供</w:t>
      </w:r>
      <w:r>
        <w:rPr>
          <w:rFonts w:hint="eastAsia" w:ascii="方正仿宋简体" w:hAnsi="方正仿宋简体" w:eastAsia="方正仿宋简体" w:cs="方正仿宋简体"/>
          <w:b/>
          <w:bCs w:val="0"/>
          <w:color w:val="000000" w:themeColor="text1"/>
          <w:sz w:val="32"/>
          <w:szCs w:val="32"/>
          <w:highlight w:val="none"/>
          <w:lang w:val="en-US" w:eastAsia="zh-CN"/>
          <w14:textFill>
            <w14:solidFill>
              <w14:schemeClr w14:val="tx1"/>
            </w14:solidFill>
          </w14:textFill>
        </w:rPr>
        <w:t>全程见证</w:t>
      </w:r>
      <w:r>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t>服务。</w:t>
      </w:r>
      <w:r>
        <w:rPr>
          <w:rFonts w:hint="eastAsia" w:ascii="方正仿宋简体" w:hAnsi="方正仿宋简体" w:eastAsia="方正仿宋简体" w:cs="方正仿宋简体"/>
          <w:b/>
          <w:bCs w:val="0"/>
          <w:color w:val="000000" w:themeColor="text1"/>
          <w:sz w:val="32"/>
          <w:szCs w:val="32"/>
          <w:highlight w:val="none"/>
          <w:lang w:val="en-US" w:eastAsia="zh-CN"/>
          <w14:textFill>
            <w14:solidFill>
              <w14:schemeClr w14:val="tx1"/>
            </w14:solidFill>
          </w14:textFill>
        </w:rPr>
        <w:t>远程异地评标项目技术服务，</w:t>
      </w:r>
      <w:r>
        <w:rPr>
          <w:rFonts w:hint="eastAsia" w:ascii="方正仿宋简体" w:hAnsi="方正仿宋简体" w:eastAsia="方正仿宋简体" w:cs="方正仿宋简体"/>
          <w:b/>
          <w:bCs w:val="0"/>
          <w:color w:val="000000" w:themeColor="text1"/>
          <w:sz w:val="32"/>
          <w:szCs w:val="32"/>
          <w:lang w:val="en-US" w:eastAsia="zh-CN"/>
          <w14:textFill>
            <w14:solidFill>
              <w14:schemeClr w14:val="tx1"/>
            </w14:solidFill>
          </w14:textFill>
        </w:rPr>
        <w:t>由</w:t>
      </w: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主副场</w:t>
      </w:r>
      <w:r>
        <w:rPr>
          <w:rFonts w:hint="eastAsia" w:ascii="方正仿宋简体" w:hAnsi="方正仿宋简体" w:eastAsia="方正仿宋简体" w:cs="方正仿宋简体"/>
          <w:b/>
          <w:bCs w:val="0"/>
          <w:color w:val="000000" w:themeColor="text1"/>
          <w:sz w:val="32"/>
          <w:szCs w:val="32"/>
          <w:lang w:val="en-US" w:eastAsia="zh-CN"/>
          <w14:textFill>
            <w14:solidFill>
              <w14:schemeClr w14:val="tx1"/>
            </w14:solidFill>
          </w14:textFill>
        </w:rPr>
        <w:t>公共资源交易中心信息技术科室负责；远程异地评标项目场地预约，</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由</w:t>
      </w: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主副场</w:t>
      </w:r>
      <w:r>
        <w:rPr>
          <w:rFonts w:hint="eastAsia" w:ascii="方正仿宋简体" w:hAnsi="方正仿宋简体" w:eastAsia="方正仿宋简体" w:cs="方正仿宋简体"/>
          <w:b/>
          <w:bCs w:val="0"/>
          <w:color w:val="000000" w:themeColor="text1"/>
          <w:sz w:val="32"/>
          <w:szCs w:val="32"/>
          <w:lang w:val="en-US" w:eastAsia="zh-CN"/>
          <w14:textFill>
            <w14:solidFill>
              <w14:schemeClr w14:val="tx1"/>
            </w14:solidFill>
          </w14:textFill>
        </w:rPr>
        <w:t>公共资源交易中心</w:t>
      </w:r>
      <w:r>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t>相关科室</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提供服务保障。</w:t>
      </w:r>
    </w:p>
    <w:p>
      <w:pPr>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val="0"/>
          <w:color w:val="000000" w:themeColor="text1"/>
          <w:sz w:val="32"/>
          <w:szCs w:val="32"/>
          <w:highlight w:val="none"/>
          <w14:textFill>
            <w14:solidFill>
              <w14:schemeClr w14:val="tx1"/>
            </w14:solidFill>
          </w14:textFill>
        </w:rPr>
        <w:t>第</w:t>
      </w:r>
      <w:r>
        <w:rPr>
          <w:rFonts w:hint="eastAsia" w:ascii="方正仿宋简体" w:hAnsi="方正仿宋简体" w:eastAsia="方正仿宋简体" w:cs="方正仿宋简体"/>
          <w:b/>
          <w:bCs w:val="0"/>
          <w:color w:val="000000" w:themeColor="text1"/>
          <w:sz w:val="32"/>
          <w:szCs w:val="32"/>
          <w:highlight w:val="none"/>
          <w:lang w:val="en-US" w:eastAsia="zh-CN"/>
          <w14:textFill>
            <w14:solidFill>
              <w14:schemeClr w14:val="tx1"/>
            </w14:solidFill>
          </w14:textFill>
        </w:rPr>
        <w:t>五</w:t>
      </w:r>
      <w:r>
        <w:rPr>
          <w:rFonts w:hint="eastAsia" w:ascii="方正仿宋简体" w:hAnsi="方正仿宋简体" w:eastAsia="方正仿宋简体" w:cs="方正仿宋简体"/>
          <w:b/>
          <w:bCs w:val="0"/>
          <w:color w:val="000000" w:themeColor="text1"/>
          <w:sz w:val="32"/>
          <w:szCs w:val="32"/>
          <w:highlight w:val="none"/>
          <w14:textFill>
            <w14:solidFill>
              <w14:schemeClr w14:val="tx1"/>
            </w14:solidFill>
          </w14:textFill>
        </w:rPr>
        <w:t>条</w:t>
      </w:r>
      <w:r>
        <w:rPr>
          <w:rFonts w:hint="eastAsia" w:ascii="方正仿宋简体" w:hAnsi="方正仿宋简体" w:eastAsia="方正仿宋简体" w:cs="方正仿宋简体"/>
          <w:b/>
          <w:bCs w:val="0"/>
          <w:color w:val="000000" w:themeColor="text1"/>
          <w:sz w:val="32"/>
          <w:szCs w:val="32"/>
          <w:highlight w:val="none"/>
          <w:lang w:val="en-US" w:eastAsia="zh-CN"/>
          <w14:textFill>
            <w14:solidFill>
              <w14:schemeClr w14:val="tx1"/>
            </w14:solidFill>
          </w14:textFill>
        </w:rPr>
        <w:t xml:space="preserve">  </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主副场公共资源交易中心</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应</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加强</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市域内</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远程异地评标</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活动</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的协同配合、现场管理</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服务保障</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全程见证</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、过程留痕</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严格保密</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等工作</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六</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评标委员会成员应当按照法律法规和招标文件要求,独立客观公正评标，主副场评标委员会成员具有同等权利和义务。</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1" w:firstLineChars="200"/>
        <w:jc w:val="center"/>
        <w:textAlignment w:val="auto"/>
        <w:rPr>
          <w:rFonts w:hint="eastAsia" w:ascii="方正黑体简体" w:hAnsi="方正黑体简体" w:eastAsia="方正黑体简体" w:cs="方正黑体简体"/>
          <w:b/>
          <w:bCs w:val="0"/>
          <w:color w:val="000000"/>
          <w:kern w:val="0"/>
          <w:sz w:val="32"/>
          <w:szCs w:val="32"/>
          <w:lang w:eastAsia="zh-CN"/>
        </w:rPr>
      </w:pPr>
      <w:r>
        <w:rPr>
          <w:rFonts w:hint="eastAsia" w:ascii="方正黑体简体" w:hAnsi="方正黑体简体" w:eastAsia="方正黑体简体" w:cs="方正黑体简体"/>
          <w:b/>
          <w:bCs w:val="0"/>
          <w:color w:val="000000"/>
          <w:kern w:val="0"/>
          <w:sz w:val="32"/>
          <w:szCs w:val="32"/>
        </w:rPr>
        <w:t>第二章  场地</w:t>
      </w:r>
      <w:r>
        <w:rPr>
          <w:rFonts w:hint="eastAsia" w:ascii="方正黑体简体" w:hAnsi="方正黑体简体" w:eastAsia="方正黑体简体" w:cs="方正黑体简体"/>
          <w:b/>
          <w:bCs w:val="0"/>
          <w:color w:val="000000"/>
          <w:kern w:val="0"/>
          <w:sz w:val="32"/>
          <w:szCs w:val="32"/>
          <w:lang w:eastAsia="zh-CN"/>
        </w:rPr>
        <w:t>预约</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pPr>
      <w:r>
        <w:rPr>
          <w:rFonts w:hint="eastAsia" w:ascii="方正仿宋简体" w:hAnsi="方正仿宋简体" w:eastAsia="方正仿宋简体" w:cs="方正仿宋简体"/>
          <w:b/>
          <w:bCs w:val="0"/>
          <w:color w:val="000000" w:themeColor="text1"/>
          <w:sz w:val="32"/>
          <w:szCs w:val="32"/>
          <w:highlight w:val="none"/>
          <w14:textFill>
            <w14:solidFill>
              <w14:schemeClr w14:val="tx1"/>
            </w14:solidFill>
          </w14:textFill>
        </w:rPr>
        <w:t>第</w:t>
      </w:r>
      <w:r>
        <w:rPr>
          <w:rFonts w:hint="eastAsia" w:ascii="方正仿宋简体" w:hAnsi="方正仿宋简体" w:eastAsia="方正仿宋简体" w:cs="方正仿宋简体"/>
          <w:b/>
          <w:bCs w:val="0"/>
          <w:color w:val="000000" w:themeColor="text1"/>
          <w:sz w:val="32"/>
          <w:szCs w:val="32"/>
          <w:highlight w:val="none"/>
          <w:lang w:val="en-US" w:eastAsia="zh-CN"/>
          <w14:textFill>
            <w14:solidFill>
              <w14:schemeClr w14:val="tx1"/>
            </w14:solidFill>
          </w14:textFill>
        </w:rPr>
        <w:t>七</w:t>
      </w:r>
      <w:r>
        <w:rPr>
          <w:rFonts w:hint="eastAsia" w:ascii="方正仿宋简体" w:hAnsi="方正仿宋简体" w:eastAsia="方正仿宋简体" w:cs="方正仿宋简体"/>
          <w:b/>
          <w:bCs w:val="0"/>
          <w:color w:val="000000" w:themeColor="text1"/>
          <w:sz w:val="32"/>
          <w:szCs w:val="32"/>
          <w:highlight w:val="none"/>
          <w14:textFill>
            <w14:solidFill>
              <w14:schemeClr w14:val="tx1"/>
            </w14:solidFill>
          </w14:textFill>
        </w:rPr>
        <w:t>条</w:t>
      </w:r>
      <w:r>
        <w:rPr>
          <w:rFonts w:hint="eastAsia" w:ascii="方正仿宋简体" w:hAnsi="方正仿宋简体" w:eastAsia="方正仿宋简体" w:cs="方正仿宋简体"/>
          <w:b/>
          <w:bCs w:val="0"/>
          <w:color w:val="000000" w:themeColor="text1"/>
          <w:sz w:val="32"/>
          <w:szCs w:val="32"/>
          <w:highlight w:val="none"/>
          <w:lang w:val="en-US" w:eastAsia="zh-CN"/>
          <w14:textFill>
            <w14:solidFill>
              <w14:schemeClr w14:val="tx1"/>
            </w14:solidFill>
          </w14:textFill>
        </w:rPr>
        <w:t xml:space="preserve">  </w:t>
      </w:r>
      <w:r>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t>招标人按照</w:t>
      </w:r>
      <w:r>
        <w:rPr>
          <w:rFonts w:hint="eastAsia" w:ascii="方正仿宋简体" w:hAnsi="方正仿宋简体" w:eastAsia="方正仿宋简体" w:cs="方正仿宋简体"/>
          <w:b/>
          <w:bCs w:val="0"/>
          <w:color w:val="000000" w:themeColor="text1"/>
          <w:sz w:val="32"/>
          <w:szCs w:val="32"/>
          <w:highlight w:val="none"/>
          <w:lang w:val="en-US" w:eastAsia="zh-CN"/>
          <w14:textFill>
            <w14:solidFill>
              <w14:schemeClr w14:val="tx1"/>
            </w14:solidFill>
          </w14:textFill>
        </w:rPr>
        <w:t>有关</w:t>
      </w:r>
      <w:r>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t>规定具体组织实施</w:t>
      </w:r>
      <w:r>
        <w:rPr>
          <w:rFonts w:hint="eastAsia" w:ascii="方正仿宋简体" w:hAnsi="方正仿宋简体" w:eastAsia="方正仿宋简体" w:cs="方正仿宋简体"/>
          <w:b/>
          <w:bCs w:val="0"/>
          <w:color w:val="000000" w:themeColor="text1"/>
          <w:sz w:val="32"/>
          <w:szCs w:val="32"/>
          <w:highlight w:val="none"/>
          <w:lang w:val="en-US" w:eastAsia="zh-CN"/>
          <w14:textFill>
            <w14:solidFill>
              <w14:schemeClr w14:val="tx1"/>
            </w14:solidFill>
          </w14:textFill>
        </w:rPr>
        <w:t>市域内</w:t>
      </w:r>
      <w:r>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t>远程异地评标</w:t>
      </w:r>
      <w:r>
        <w:rPr>
          <w:rFonts w:hint="eastAsia" w:ascii="方正仿宋简体" w:hAnsi="方正仿宋简体" w:eastAsia="方正仿宋简体" w:cs="方正仿宋简体"/>
          <w:b/>
          <w:bCs w:val="0"/>
          <w:color w:val="000000" w:themeColor="text1"/>
          <w:sz w:val="32"/>
          <w:szCs w:val="32"/>
          <w:highlight w:val="none"/>
          <w:lang w:val="en-US" w:eastAsia="zh-CN"/>
          <w14:textFill>
            <w14:solidFill>
              <w14:schemeClr w14:val="tx1"/>
            </w14:solidFill>
          </w14:textFill>
        </w:rPr>
        <w:t>项目</w:t>
      </w:r>
      <w:r>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t>，通过</w:t>
      </w:r>
      <w:r>
        <w:rPr>
          <w:rFonts w:hint="eastAsia" w:ascii="方正仿宋简体" w:hAnsi="方正仿宋简体" w:eastAsia="方正仿宋简体" w:cs="方正仿宋简体"/>
          <w:b/>
          <w:bCs w:val="0"/>
          <w:color w:val="000000" w:themeColor="text1"/>
          <w:sz w:val="32"/>
          <w:szCs w:val="32"/>
          <w:highlight w:val="none"/>
          <w:lang w:val="en-US" w:eastAsia="zh-CN"/>
          <w14:textFill>
            <w14:solidFill>
              <w14:schemeClr w14:val="tx1"/>
            </w14:solidFill>
          </w14:textFill>
        </w:rPr>
        <w:t>市</w:t>
      </w:r>
      <w:r>
        <w:rPr>
          <w:rFonts w:hint="eastAsia" w:ascii="方正仿宋简体" w:hAnsi="方正仿宋简体" w:eastAsia="方正仿宋简体" w:cs="方正仿宋简体"/>
          <w:b/>
          <w:bCs w:val="0"/>
          <w:color w:val="000000" w:themeColor="text1"/>
          <w:sz w:val="32"/>
          <w:szCs w:val="32"/>
          <w:highlight w:val="none"/>
          <w:lang w:eastAsia="zh-CN"/>
          <w14:textFill>
            <w14:solidFill>
              <w14:schemeClr w14:val="tx1"/>
            </w14:solidFill>
          </w14:textFill>
        </w:rPr>
        <w:t>公共资源交易远程异地评标协调系统直接确定或随机选择副场。副场应在规定时间内确认是否承接。</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副场</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若遇特殊情况无法保障已预约</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场地</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的</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交易项目</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，应及时通知主场。</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1" w:firstLineChars="200"/>
        <w:jc w:val="center"/>
        <w:textAlignment w:val="auto"/>
        <w:rPr>
          <w:rFonts w:hint="eastAsia" w:ascii="方正黑体简体" w:hAnsi="方正黑体简体" w:eastAsia="方正黑体简体" w:cs="方正黑体简体"/>
          <w:b/>
          <w:bCs w:val="0"/>
          <w:color w:val="000000"/>
          <w:kern w:val="0"/>
          <w:sz w:val="32"/>
          <w:szCs w:val="32"/>
          <w:lang w:val="en-US" w:eastAsia="zh-CN"/>
        </w:rPr>
      </w:pPr>
      <w:r>
        <w:rPr>
          <w:rFonts w:hint="eastAsia" w:ascii="方正黑体简体" w:hAnsi="方正黑体简体" w:eastAsia="方正黑体简体" w:cs="方正黑体简体"/>
          <w:b/>
          <w:bCs w:val="0"/>
          <w:color w:val="000000"/>
          <w:kern w:val="0"/>
          <w:sz w:val="32"/>
          <w:szCs w:val="32"/>
        </w:rPr>
        <w:t>第</w:t>
      </w:r>
      <w:r>
        <w:rPr>
          <w:rFonts w:hint="eastAsia" w:ascii="方正黑体简体" w:hAnsi="方正黑体简体" w:eastAsia="方正黑体简体" w:cs="方正黑体简体"/>
          <w:b/>
          <w:bCs w:val="0"/>
          <w:color w:val="000000"/>
          <w:kern w:val="0"/>
          <w:sz w:val="32"/>
          <w:szCs w:val="32"/>
          <w:lang w:val="en-US" w:eastAsia="zh-CN"/>
        </w:rPr>
        <w:t>三</w:t>
      </w:r>
      <w:r>
        <w:rPr>
          <w:rFonts w:hint="eastAsia" w:ascii="方正黑体简体" w:hAnsi="方正黑体简体" w:eastAsia="方正黑体简体" w:cs="方正黑体简体"/>
          <w:b/>
          <w:bCs w:val="0"/>
          <w:color w:val="000000"/>
          <w:kern w:val="0"/>
          <w:sz w:val="32"/>
          <w:szCs w:val="32"/>
        </w:rPr>
        <w:t>章  </w:t>
      </w:r>
      <w:r>
        <w:rPr>
          <w:rFonts w:hint="eastAsia" w:ascii="方正黑体简体" w:hAnsi="方正黑体简体" w:eastAsia="方正黑体简体" w:cs="方正黑体简体"/>
          <w:b/>
          <w:bCs w:val="0"/>
          <w:color w:val="000000"/>
          <w:kern w:val="0"/>
          <w:sz w:val="32"/>
          <w:szCs w:val="32"/>
          <w:lang w:val="en-US" w:eastAsia="zh-CN"/>
        </w:rPr>
        <w:t>专家抽取</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lang w:val="en-US" w:eastAsia="zh-CN" w:bidi="ar-SA"/>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lang w:val="en-US" w:eastAsia="zh-CN" w:bidi="ar-SA"/>
          <w14:textFill>
            <w14:solidFill>
              <w14:schemeClr w14:val="tx1"/>
            </w14:solidFill>
          </w14:textFill>
        </w:rPr>
        <w:t>第八条  市域内远程异地评标项目专家抽取，由招标人通过省公共资源交易综合评标评审专家库随机抽取评标专家，组建评标委员会。</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lang w:val="en-US" w:eastAsia="zh-CN" w:bidi="ar-SA"/>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lang w:val="en-US" w:eastAsia="zh-CN" w:bidi="ar-SA"/>
          <w14:textFill>
            <w14:solidFill>
              <w14:schemeClr w14:val="tx1"/>
            </w14:solidFill>
          </w14:textFill>
        </w:rPr>
        <w:t>第九条  评标专家由主场随机抽取产生，因特殊情况导致评标专家数量不符合规定的，由主场及时补抽。经补抽评标专家数量仍无法满足的，经相关行政监督部门同意，招标人可直接确定专家。</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lang w:val="en-US" w:eastAsia="zh-CN" w:bidi="ar-SA"/>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lang w:val="en-US" w:eastAsia="zh-CN" w:bidi="ar-SA"/>
          <w14:textFill>
            <w14:solidFill>
              <w14:schemeClr w14:val="tx1"/>
            </w14:solidFill>
          </w14:textFill>
        </w:rPr>
        <w:t>第十条  评标专家在确认参加评标后，因特殊原因不能参加评标的。应在规定到达参评时间前2小时，通过省公共资源交易综合评标评审专家库取消参评。主副场公共资源交易中心工作人员做好评标专家请假记录工作。</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十一</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主副场公共资源交易中心工作人员负责本地评标专家名单打印，协助招标人完成评标委员会成员身份核验</w:t>
      </w:r>
      <w:r>
        <w:rPr>
          <w:rFonts w:hint="eastAsia" w:ascii="方正仿宋简体" w:hAnsi="方正仿宋简体" w:eastAsia="方正仿宋简体" w:cs="方正仿宋简体"/>
          <w:b/>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签到等工作。</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1" w:firstLineChars="200"/>
        <w:jc w:val="center"/>
        <w:textAlignment w:val="auto"/>
        <w:rPr>
          <w:rFonts w:hint="eastAsia" w:ascii="方正黑体简体" w:hAnsi="方正黑体简体" w:eastAsia="方正黑体简体" w:cs="方正黑体简体"/>
          <w:b/>
          <w:bCs w:val="0"/>
          <w:color w:val="000000"/>
          <w:kern w:val="0"/>
          <w:sz w:val="32"/>
          <w:szCs w:val="32"/>
          <w:lang w:eastAsia="zh-CN"/>
        </w:rPr>
      </w:pPr>
      <w:r>
        <w:rPr>
          <w:rFonts w:hint="eastAsia" w:ascii="方正黑体简体" w:hAnsi="方正黑体简体" w:eastAsia="方正黑体简体" w:cs="方正黑体简体"/>
          <w:b/>
          <w:bCs w:val="0"/>
          <w:color w:val="000000"/>
          <w:kern w:val="0"/>
          <w:sz w:val="32"/>
          <w:szCs w:val="32"/>
        </w:rPr>
        <w:t>第四章  评标</w:t>
      </w:r>
      <w:r>
        <w:rPr>
          <w:rFonts w:hint="eastAsia" w:ascii="方正黑体简体" w:hAnsi="方正黑体简体" w:eastAsia="方正黑体简体" w:cs="方正黑体简体"/>
          <w:b/>
          <w:bCs w:val="0"/>
          <w:color w:val="000000"/>
          <w:kern w:val="0"/>
          <w:sz w:val="32"/>
          <w:szCs w:val="32"/>
          <w:lang w:eastAsia="zh-CN"/>
        </w:rPr>
        <w:t>服务</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二</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招标人代表和</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评标专家</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，通过标立通专家小助手完成采集电子签名、刷脸认证信息等工作。</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三</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评标委员会负责人由评标委员会成员推举产生或者由招标人确定。</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四</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评标过程中，评标委员会需讨论时应当使用评标视频会议系统。讨论意见无法统一时，应当通过电子交易系统投票表决。</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五</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主副场出现</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扰乱评标现场秩序的评标专家</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，由副场公共资源交易中心工作人员及时通告主场</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做好记录，</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并抄告</w:t>
      </w:r>
      <w:r>
        <w:rPr>
          <w:rFonts w:hint="eastAsia" w:ascii="方正仿宋简体" w:hAnsi="方正仿宋简体" w:eastAsia="方正仿宋简体" w:cs="方正仿宋简体"/>
          <w:b/>
          <w:bCs w:val="0"/>
          <w:color w:val="000000" w:themeColor="text1"/>
          <w:sz w:val="32"/>
          <w:szCs w:val="32"/>
          <w:lang w:eastAsia="zh-CN"/>
          <w14:textFill>
            <w14:solidFill>
              <w14:schemeClr w14:val="tx1"/>
            </w14:solidFill>
          </w14:textFill>
        </w:rPr>
        <w:t>相关行政监管部门</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六</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如</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评标时间较长需隔夜评标的，主副场应当做好隔夜评标服务保障和评标现场管控等相关工作。</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七</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评标委员会成员完成评标报告等文件电子签名并经评标委员会负责人确认后方可离场。评标专家并不得将应当保密的评标资料和数据带离评标室。</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八</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评标结束后，主副场公共资源交易中心、招标人、相关行政监督部门应对评标专家进行考核，主场公共资源交易中心</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工作人员</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负责统一填报考核结果。</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九</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主副场应当妥善保存远程异地评标音视频和电子资料。评标结束后三个工作日内，副场将评标</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项目</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音视频等相关资料移交主场，由主场统一保存</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保存期限按照有关规定执行。</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二十</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远程异地评标项目</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的</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交易数据</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计入</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主副场</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公共资源交易中心</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交易</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数据</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统计。</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二</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一</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主副场专家</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需要就餐服务的，由主场</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招标人</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组织实施，主副场公共资源交易中心工作人员协助做好</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接送餐</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服务</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1" w:firstLineChars="200"/>
        <w:jc w:val="center"/>
        <w:textAlignment w:val="auto"/>
        <w:rPr>
          <w:rFonts w:hint="eastAsia" w:ascii="方正黑体简体" w:hAnsi="方正黑体简体" w:eastAsia="方正黑体简体" w:cs="方正黑体简体"/>
          <w:b/>
          <w:bCs w:val="0"/>
          <w:color w:val="000000"/>
          <w:kern w:val="0"/>
          <w:sz w:val="32"/>
          <w:szCs w:val="32"/>
        </w:rPr>
      </w:pPr>
      <w:r>
        <w:rPr>
          <w:rFonts w:hint="eastAsia" w:ascii="方正黑体简体" w:hAnsi="方正黑体简体" w:eastAsia="方正黑体简体" w:cs="方正黑体简体"/>
          <w:b/>
          <w:bCs w:val="0"/>
          <w:color w:val="000000"/>
          <w:kern w:val="0"/>
          <w:sz w:val="32"/>
          <w:szCs w:val="32"/>
        </w:rPr>
        <w:t>第五章  费用支付</w:t>
      </w:r>
    </w:p>
    <w:p>
      <w:pPr>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二</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二</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主副场公共资源交易中心</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工作人员分别采集评标专家</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的银行账户信息</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由招标人在评标结束后</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3</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个工作日内通过</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公共资源评标</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专家</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费在线</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支付系统</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转账支付。</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1" w:firstLineChars="200"/>
        <w:jc w:val="center"/>
        <w:textAlignment w:val="auto"/>
        <w:rPr>
          <w:rFonts w:hint="eastAsia" w:ascii="方正黑体简体" w:hAnsi="方正黑体简体" w:eastAsia="方正黑体简体" w:cs="方正黑体简体"/>
          <w:b/>
          <w:bCs w:val="0"/>
          <w:color w:val="000000"/>
          <w:kern w:val="0"/>
          <w:sz w:val="32"/>
          <w:szCs w:val="32"/>
        </w:rPr>
      </w:pPr>
      <w:r>
        <w:rPr>
          <w:rFonts w:hint="eastAsia" w:ascii="方正黑体简体" w:hAnsi="方正黑体简体" w:eastAsia="方正黑体简体" w:cs="方正黑体简体"/>
          <w:b/>
          <w:bCs w:val="0"/>
          <w:color w:val="000000"/>
          <w:kern w:val="0"/>
          <w:sz w:val="32"/>
          <w:szCs w:val="32"/>
        </w:rPr>
        <w:t>第六章</w:t>
      </w:r>
      <w:r>
        <w:rPr>
          <w:rFonts w:hint="eastAsia" w:ascii="方正黑体简体" w:hAnsi="方正黑体简体" w:eastAsia="方正黑体简体" w:cs="方正黑体简体"/>
          <w:b/>
          <w:bCs w:val="0"/>
          <w:color w:val="000000"/>
          <w:kern w:val="0"/>
          <w:sz w:val="32"/>
          <w:szCs w:val="32"/>
          <w:lang w:val="en-US" w:eastAsia="zh-CN"/>
        </w:rPr>
        <w:t xml:space="preserve">   </w:t>
      </w:r>
      <w:r>
        <w:rPr>
          <w:rFonts w:hint="eastAsia" w:ascii="方正黑体简体" w:hAnsi="方正黑体简体" w:eastAsia="方正黑体简体" w:cs="方正黑体简体"/>
          <w:b/>
          <w:bCs w:val="0"/>
          <w:color w:val="000000"/>
          <w:kern w:val="0"/>
          <w:sz w:val="32"/>
          <w:szCs w:val="32"/>
        </w:rPr>
        <w:t>特殊情况</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二</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三</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如发生</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停电、网络中断、电子设备或者</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智能辅助</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评标系统故障等</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情形</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时，由招标人、</w:t>
      </w:r>
      <w:r>
        <w:rPr>
          <w:rFonts w:hint="eastAsia" w:ascii="方正仿宋简体" w:hAnsi="方正仿宋简体" w:eastAsia="方正仿宋简体" w:cs="方正仿宋简体"/>
          <w:b/>
          <w:bCs w:val="0"/>
          <w:color w:val="000000" w:themeColor="text1"/>
          <w:sz w:val="32"/>
          <w:szCs w:val="32"/>
          <w:lang w:eastAsia="zh-CN"/>
          <w14:textFill>
            <w14:solidFill>
              <w14:schemeClr w14:val="tx1"/>
            </w14:solidFill>
          </w14:textFill>
        </w:rPr>
        <w:t>相关行政监管部门</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确定是否继续评标。需要暂停评标的，招标人应该配合主副场做好资料封存和保密工作，待故障解除后重新组织评标。</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第二十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四</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主副场评标专家</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无法进行</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电子签名</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时，</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相关</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评标资料</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可采用手写签名并扫描上传。</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1" w:firstLineChars="200"/>
        <w:jc w:val="center"/>
        <w:textAlignment w:val="auto"/>
        <w:rPr>
          <w:rFonts w:hint="eastAsia" w:ascii="方正黑体简体" w:hAnsi="方正黑体简体" w:eastAsia="方正黑体简体" w:cs="方正黑体简体"/>
          <w:b/>
          <w:bCs w:val="0"/>
          <w:color w:val="000000"/>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1" w:firstLineChars="200"/>
        <w:jc w:val="center"/>
        <w:textAlignment w:val="auto"/>
        <w:rPr>
          <w:rFonts w:hint="eastAsia" w:ascii="方正黑体简体" w:hAnsi="方正黑体简体" w:eastAsia="方正黑体简体" w:cs="方正黑体简体"/>
          <w:b/>
          <w:bCs w:val="0"/>
          <w:color w:val="000000"/>
          <w:kern w:val="0"/>
          <w:sz w:val="32"/>
          <w:szCs w:val="32"/>
          <w:lang w:val="en-US" w:eastAsia="zh-CN"/>
        </w:rPr>
      </w:pPr>
      <w:r>
        <w:rPr>
          <w:rFonts w:hint="eastAsia" w:ascii="方正黑体简体" w:hAnsi="方正黑体简体" w:eastAsia="方正黑体简体" w:cs="方正黑体简体"/>
          <w:b/>
          <w:bCs w:val="0"/>
          <w:color w:val="000000"/>
          <w:kern w:val="0"/>
          <w:sz w:val="32"/>
          <w:szCs w:val="32"/>
        </w:rPr>
        <w:t>第</w:t>
      </w:r>
      <w:r>
        <w:rPr>
          <w:rFonts w:hint="eastAsia" w:ascii="方正黑体简体" w:hAnsi="方正黑体简体" w:eastAsia="方正黑体简体" w:cs="方正黑体简体"/>
          <w:b/>
          <w:bCs w:val="0"/>
          <w:color w:val="000000"/>
          <w:kern w:val="0"/>
          <w:sz w:val="32"/>
          <w:szCs w:val="32"/>
          <w:lang w:eastAsia="zh-CN"/>
        </w:rPr>
        <w:t>七</w:t>
      </w:r>
      <w:r>
        <w:rPr>
          <w:rFonts w:hint="eastAsia" w:ascii="方正黑体简体" w:hAnsi="方正黑体简体" w:eastAsia="方正黑体简体" w:cs="方正黑体简体"/>
          <w:b/>
          <w:bCs w:val="0"/>
          <w:color w:val="000000"/>
          <w:kern w:val="0"/>
          <w:sz w:val="32"/>
          <w:szCs w:val="32"/>
        </w:rPr>
        <w:t>章</w:t>
      </w:r>
      <w:r>
        <w:rPr>
          <w:rFonts w:hint="eastAsia" w:ascii="方正黑体简体" w:hAnsi="方正黑体简体" w:eastAsia="方正黑体简体" w:cs="方正黑体简体"/>
          <w:b/>
          <w:bCs w:val="0"/>
          <w:color w:val="000000"/>
          <w:kern w:val="0"/>
          <w:sz w:val="32"/>
          <w:szCs w:val="32"/>
          <w:lang w:val="en-US" w:eastAsia="zh-CN"/>
        </w:rPr>
        <w:t xml:space="preserve">   监督管理</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第二十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五</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市域内</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远程异地评标项目监督管理</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投诉处理</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由主场相关行政监督部门负责。</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主副场公共资源交易交易中心协助做好相关配合。</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第二十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六</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市域内</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远程异地评标项目</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出现质疑、投诉，</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需原评标委员会复评的</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经</w:t>
      </w:r>
      <w:r>
        <w:rPr>
          <w:rFonts w:hint="eastAsia" w:ascii="方正仿宋简体" w:hAnsi="方正仿宋简体" w:eastAsia="方正仿宋简体" w:cs="方正仿宋简体"/>
          <w:b/>
          <w:bCs w:val="0"/>
          <w:color w:val="000000" w:themeColor="text1"/>
          <w:sz w:val="32"/>
          <w:szCs w:val="32"/>
          <w:lang w:eastAsia="zh-CN"/>
          <w14:textFill>
            <w14:solidFill>
              <w14:schemeClr w14:val="tx1"/>
            </w14:solidFill>
          </w14:textFill>
        </w:rPr>
        <w:t>相关行政监管部门</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同意后，招标人可以组织原评标委员会进行复评。</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1" w:firstLineChars="200"/>
        <w:jc w:val="center"/>
        <w:textAlignment w:val="auto"/>
        <w:rPr>
          <w:rFonts w:hint="eastAsia" w:ascii="方正黑体简体" w:hAnsi="方正黑体简体" w:eastAsia="方正黑体简体" w:cs="方正黑体简体"/>
          <w:b/>
          <w:bCs w:val="0"/>
          <w:color w:val="000000"/>
          <w:kern w:val="0"/>
          <w:sz w:val="32"/>
          <w:szCs w:val="32"/>
        </w:rPr>
      </w:pPr>
      <w:r>
        <w:rPr>
          <w:rFonts w:hint="eastAsia" w:ascii="方正黑体简体" w:hAnsi="方正黑体简体" w:eastAsia="方正黑体简体" w:cs="方正黑体简体"/>
          <w:b/>
          <w:bCs w:val="0"/>
          <w:color w:val="000000"/>
          <w:kern w:val="0"/>
          <w:sz w:val="32"/>
          <w:szCs w:val="32"/>
        </w:rPr>
        <w:t>第</w:t>
      </w:r>
      <w:r>
        <w:rPr>
          <w:rFonts w:hint="eastAsia" w:ascii="方正黑体简体" w:hAnsi="方正黑体简体" w:eastAsia="方正黑体简体" w:cs="方正黑体简体"/>
          <w:b/>
          <w:bCs w:val="0"/>
          <w:color w:val="000000"/>
          <w:kern w:val="0"/>
          <w:sz w:val="32"/>
          <w:szCs w:val="32"/>
          <w:lang w:val="en-US" w:eastAsia="zh-CN"/>
        </w:rPr>
        <w:t>八</w:t>
      </w:r>
      <w:r>
        <w:rPr>
          <w:rFonts w:hint="eastAsia" w:ascii="方正黑体简体" w:hAnsi="方正黑体简体" w:eastAsia="方正黑体简体" w:cs="方正黑体简体"/>
          <w:b/>
          <w:bCs w:val="0"/>
          <w:color w:val="000000"/>
          <w:kern w:val="0"/>
          <w:sz w:val="32"/>
          <w:szCs w:val="32"/>
        </w:rPr>
        <w:t>章</w:t>
      </w:r>
      <w:r>
        <w:rPr>
          <w:rFonts w:hint="eastAsia" w:ascii="方正黑体简体" w:hAnsi="方正黑体简体" w:eastAsia="方正黑体简体" w:cs="方正黑体简体"/>
          <w:b/>
          <w:bCs w:val="0"/>
          <w:color w:val="000000"/>
          <w:kern w:val="0"/>
          <w:sz w:val="32"/>
          <w:szCs w:val="32"/>
          <w:lang w:val="en-US" w:eastAsia="zh-CN"/>
        </w:rPr>
        <w:t xml:space="preserve">  </w:t>
      </w:r>
      <w:r>
        <w:rPr>
          <w:rFonts w:hint="eastAsia" w:ascii="方正黑体简体" w:hAnsi="方正黑体简体" w:eastAsia="方正黑体简体" w:cs="方正黑体简体"/>
          <w:b/>
          <w:bCs w:val="0"/>
          <w:color w:val="000000"/>
          <w:kern w:val="0"/>
          <w:sz w:val="32"/>
          <w:szCs w:val="32"/>
        </w:rPr>
        <w:t>附    则</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二</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七</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市域内远程异地评标项目需跨省、市远程异地评标的可参照本办法执行。</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二</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八</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本细则所称“招标人”，包括招标人及其委托的招标代理机构。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第</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二</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十</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九</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条</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本细则自印发之日起试行，</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试行期一年。</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本细则</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由</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市公共资源交易中心</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bookmarkStart w:id="3" w:name="_GoBack"/>
      <w:bookmarkEnd w:id="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0"/>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0"/>
          <w:rFonts w:hint="default" w:ascii="方正黑体简体" w:hAnsi="方正黑体简体" w:eastAsia="方正黑体简体" w:cs="方正黑体简体"/>
          <w:b/>
          <w:bCs/>
          <w:i w:val="0"/>
          <w:iCs w:val="0"/>
          <w:caps w:val="0"/>
          <w:color w:val="auto"/>
          <w:spacing w:val="0"/>
          <w:kern w:val="0"/>
          <w:sz w:val="28"/>
          <w:szCs w:val="28"/>
          <w:shd w:val="clear" w:color="auto" w:fill="FFFFFF"/>
          <w:lang w:val="en-US" w:eastAsia="zh-CN" w:bidi="ar"/>
        </w:rPr>
      </w:pPr>
      <w:r>
        <w:rPr>
          <w:rStyle w:val="10"/>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ge">
                  <wp:posOffset>8827135</wp:posOffset>
                </wp:positionV>
                <wp:extent cx="5615940" cy="0"/>
                <wp:effectExtent l="0" t="4445" r="0" b="5080"/>
                <wp:wrapNone/>
                <wp:docPr id="3" name="自选图形 5"/>
                <wp:cNvGraphicFramePr/>
                <a:graphic xmlns:a="http://schemas.openxmlformats.org/drawingml/2006/main">
                  <a:graphicData uri="http://schemas.microsoft.com/office/word/2010/wordprocessingShape">
                    <wps:wsp>
                      <wps:cNvCnPr/>
                      <wps:spPr>
                        <a:xfrm>
                          <a:off x="0" y="0"/>
                          <a:ext cx="5615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5" o:spid="_x0000_s1026" o:spt="32" type="#_x0000_t32" style="position:absolute;left:0pt;margin-top:695.05pt;height:0pt;width:442.2pt;mso-position-horizontal:center;mso-position-vertical-relative:page;z-index:251661312;mso-width-relative:page;mso-height-relative:page;" filled="f" stroked="t" coordsize="21600,21600" o:gfxdata="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PJ9WtYAAAAKAQAADwAAAAAAAAABACAAAAAiAAAAZHJzL2Rvd25yZXYueG1s&#10;UEsBAhQAFAAAAAgAh07iQOkh+7z6AQAA8QMAAA4AAAAAAAAAAQAgAAAAJQEAAGRycy9lMm9Eb2Mu&#10;eG1sUEsFBgAAAAAGAAYAWQEAAJEFAAAAAA==&#10;">
                <v:fill on="f" focussize="0,0"/>
                <v:stroke color="#000000" joinstyle="round"/>
                <v:imagedata o:title=""/>
                <o:lock v:ext="edit" aspectratio="f"/>
              </v:shape>
            </w:pict>
          </mc:Fallback>
        </mc:AlternateContent>
      </w:r>
      <w:r>
        <w:rPr>
          <w:rStyle w:val="10"/>
          <w:rFonts w:hint="eastAsia" w:ascii="宋体" w:hAnsi="宋体" w:cs="宋体"/>
          <w:b/>
          <w:bCs/>
          <w:i w:val="0"/>
          <w:iCs w:val="0"/>
          <w:caps w:val="0"/>
          <w:color w:val="auto"/>
          <w:spacing w:val="0"/>
          <w:kern w:val="0"/>
          <w:sz w:val="28"/>
          <w:szCs w:val="28"/>
          <w:shd w:val="clear" w:color="auto" w:fill="FFFFFF"/>
          <w:lang w:val="en-US" w:eastAsia="zh-CN" w:bidi="ar"/>
        </w:rPr>
        <w:t xml:space="preserve"> 信息公开类型：</w:t>
      </w:r>
      <w:r>
        <w:rPr>
          <w:rStyle w:val="10"/>
          <w:rFonts w:hint="eastAsia" w:ascii="方正黑体简体" w:hAnsi="方正黑体简体" w:eastAsia="方正黑体简体" w:cs="方正黑体简体"/>
          <w:b/>
          <w:bCs/>
          <w:i w:val="0"/>
          <w:iCs w:val="0"/>
          <w:caps w:val="0"/>
          <w:color w:val="auto"/>
          <w:spacing w:val="0"/>
          <w:kern w:val="0"/>
          <w:sz w:val="28"/>
          <w:szCs w:val="28"/>
          <w:shd w:val="clear" w:color="auto" w:fill="FFFFFF"/>
          <w:lang w:val="en-US" w:eastAsia="zh-CN" w:bidi="ar"/>
        </w:rPr>
        <w:t>主动公开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0" w:firstLineChars="0"/>
        <w:jc w:val="center"/>
        <w:textAlignment w:val="auto"/>
        <w:outlineLvl w:val="9"/>
        <w:rPr>
          <w:rFonts w:hint="default" w:ascii="方正仿宋简体" w:hAnsi="方正仿宋简体" w:eastAsia="方正仿宋简体" w:cs="方正仿宋简体"/>
          <w:b/>
          <w:bCs/>
          <w:sz w:val="28"/>
          <w:szCs w:val="28"/>
          <w:lang w:val="en-US"/>
        </w:rPr>
      </w:pPr>
      <w:r>
        <w:rPr>
          <w:rStyle w:val="10"/>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ge">
                  <wp:posOffset>9260205</wp:posOffset>
                </wp:positionV>
                <wp:extent cx="5603875" cy="635"/>
                <wp:effectExtent l="0" t="0" r="0" b="0"/>
                <wp:wrapNone/>
                <wp:docPr id="4" name="自选图形 4"/>
                <wp:cNvGraphicFramePr/>
                <a:graphic xmlns:a="http://schemas.openxmlformats.org/drawingml/2006/main">
                  <a:graphicData uri="http://schemas.microsoft.com/office/word/2010/wordprocessingShape">
                    <wps:wsp>
                      <wps:cNvCnPr/>
                      <wps:spPr>
                        <a:xfrm>
                          <a:off x="0" y="0"/>
                          <a:ext cx="56038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0.15pt;margin-top:729.15pt;height:0.05pt;width:441.25pt;mso-position-vertical-relative:page;z-index:251662336;mso-width-relative:page;mso-height-relative:page;" filled="f" stroked="t" coordsize="21600,21600" o:gfxdata="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haAd9gAAAALAQAADwAAAAAAAAABACAAAAAiAAAAZHJzL2Rvd25yZXYu&#10;eG1sUEsBAhQAFAAAAAgAh07iQBjHazr7AQAA8wMAAA4AAAAAAAAAAQAgAAAAJwEAAGRycy9lMm9E&#10;b2MueG1sUEsFBgAAAAAGAAYAWQEAAJQFAAAAAA==&#10;">
                <v:fill on="f" focussize="0,0"/>
                <v:stroke color="#000000" joinstyle="round"/>
                <v:imagedata o:title=""/>
                <o:lock v:ext="edit" aspectratio="f"/>
              </v:shape>
            </w:pict>
          </mc:Fallback>
        </mc:AlternateContent>
      </w:r>
      <w:r>
        <w:rPr>
          <w:rStyle w:val="10"/>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w:t xml:space="preserve"> 济宁市公共资源交易服务中心综合科</w:t>
      </w:r>
      <w:r>
        <w:rPr>
          <w:rStyle w:val="10"/>
          <w:rFonts w:hint="eastAsia" w:ascii="方正仿宋简体" w:hAnsi="方正仿宋简体" w:cs="方正仿宋简体"/>
          <w:b/>
          <w:bCs/>
          <w:i w:val="0"/>
          <w:iCs w:val="0"/>
          <w:caps w:val="0"/>
          <w:color w:val="auto"/>
          <w:spacing w:val="0"/>
          <w:kern w:val="0"/>
          <w:sz w:val="28"/>
          <w:szCs w:val="28"/>
          <w:shd w:val="clear" w:color="auto" w:fill="FFFFFF"/>
          <w:lang w:val="en-US" w:eastAsia="zh-CN" w:bidi="ar"/>
        </w:rPr>
        <w:t xml:space="preserve">        </w:t>
      </w:r>
      <w:r>
        <w:rPr>
          <w:rStyle w:val="10"/>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w:t xml:space="preserve">  </w:t>
      </w:r>
      <w:r>
        <w:rPr>
          <w:rFonts w:hint="eastAsia" w:ascii="方正仿宋简体" w:hAnsi="方正仿宋简体" w:eastAsia="方正仿宋简体" w:cs="方正仿宋简体"/>
          <w:b/>
          <w:bCs/>
          <w:i w:val="0"/>
          <w:iCs w:val="0"/>
          <w:caps w:val="0"/>
          <w:color w:val="auto"/>
          <w:spacing w:val="0"/>
          <w:kern w:val="2"/>
          <w:sz w:val="28"/>
          <w:szCs w:val="28"/>
          <w:shd w:val="clear" w:color="auto" w:fill="FFFFFF"/>
          <w:lang w:val="en-US" w:eastAsia="zh-CN" w:bidi="ar-SA"/>
        </w:rPr>
        <w:t>202</w:t>
      </w:r>
      <w:r>
        <w:rPr>
          <w:rFonts w:hint="eastAsia" w:ascii="方正仿宋简体" w:hAnsi="方正仿宋简体" w:cs="方正仿宋简体"/>
          <w:b/>
          <w:bCs/>
          <w:i w:val="0"/>
          <w:iCs w:val="0"/>
          <w:caps w:val="0"/>
          <w:color w:val="auto"/>
          <w:spacing w:val="0"/>
          <w:kern w:val="2"/>
          <w:sz w:val="28"/>
          <w:szCs w:val="28"/>
          <w:shd w:val="clear" w:color="auto" w:fill="FFFFFF"/>
          <w:lang w:val="en-US" w:eastAsia="zh-CN" w:bidi="ar-SA"/>
        </w:rPr>
        <w:t>4</w:t>
      </w:r>
      <w:r>
        <w:rPr>
          <w:rStyle w:val="10"/>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w:t>年</w:t>
      </w:r>
      <w:r>
        <w:rPr>
          <w:rStyle w:val="10"/>
          <w:rFonts w:hint="eastAsia" w:ascii="方正仿宋简体" w:hAnsi="方正仿宋简体" w:cs="方正仿宋简体"/>
          <w:b/>
          <w:bCs/>
          <w:i w:val="0"/>
          <w:iCs w:val="0"/>
          <w:caps w:val="0"/>
          <w:color w:val="auto"/>
          <w:spacing w:val="0"/>
          <w:kern w:val="0"/>
          <w:sz w:val="28"/>
          <w:szCs w:val="28"/>
          <w:shd w:val="clear" w:color="auto" w:fill="FFFFFF"/>
          <w:lang w:val="en-US" w:eastAsia="zh-CN" w:bidi="ar"/>
        </w:rPr>
        <w:t>6</w:t>
      </w:r>
      <w:r>
        <w:rPr>
          <w:rStyle w:val="10"/>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w:t>月</w:t>
      </w:r>
      <w:r>
        <w:rPr>
          <w:rStyle w:val="10"/>
          <w:rFonts w:hint="eastAsia" w:ascii="方正仿宋简体" w:hAnsi="方正仿宋简体" w:cs="方正仿宋简体"/>
          <w:b/>
          <w:bCs/>
          <w:i w:val="0"/>
          <w:iCs w:val="0"/>
          <w:caps w:val="0"/>
          <w:color w:val="auto"/>
          <w:spacing w:val="0"/>
          <w:kern w:val="0"/>
          <w:sz w:val="28"/>
          <w:szCs w:val="28"/>
          <w:shd w:val="clear" w:color="auto" w:fill="FFFFFF"/>
          <w:lang w:val="en-US" w:eastAsia="zh-CN" w:bidi="ar"/>
        </w:rPr>
        <w:t>17</w:t>
      </w:r>
      <w:r>
        <w:rPr>
          <w:rStyle w:val="10"/>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w:t>日印发</w:t>
      </w:r>
      <w:r>
        <w:rPr>
          <w:rStyle w:val="10"/>
          <w:rFonts w:hint="eastAsia" w:ascii="方正仿宋简体" w:hAnsi="方正仿宋简体" w:cs="方正仿宋简体"/>
          <w:b/>
          <w:bCs/>
          <w:i w:val="0"/>
          <w:iCs w:val="0"/>
          <w:caps w:val="0"/>
          <w:color w:val="auto"/>
          <w:spacing w:val="0"/>
          <w:kern w:val="0"/>
          <w:sz w:val="28"/>
          <w:szCs w:val="28"/>
          <w:shd w:val="clear" w:color="auto" w:fill="FFFFFF"/>
          <w:lang w:val="en-US" w:eastAsia="zh-CN" w:bidi="ar"/>
        </w:rPr>
        <w:t xml:space="preserve"> </w:t>
      </w:r>
    </w:p>
    <w:sectPr>
      <w:footerReference r:id="rId6" w:type="first"/>
      <w:footerReference r:id="rId5" w:type="default"/>
      <w:pgSz w:w="11906" w:h="16838"/>
      <w:pgMar w:top="2098" w:right="1531" w:bottom="1984" w:left="1531" w:header="1191" w:footer="1531" w:gutter="0"/>
      <w:pgNumType w:fmt="numberInDash" w:start="1"/>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3"/>
      </w:pPr>
      <w:r>
        <w:separator/>
      </w:r>
    </w:p>
  </w:endnote>
  <w:endnote w:type="continuationSeparator" w:id="1">
    <w:p>
      <w:pPr>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Helvetica">
    <w:altName w:val="Arial"/>
    <w:panose1 w:val="020B06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KsdOIBAADMAwAADgAAAGRycy9lMm9Eb2MueG1srVPNjtMwEL4j8Q6W&#10;7zTZSou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FAKsdOIBAADMAwAADgAA&#10;AAAAAAABACAAAAAeAQAAZHJzL2Uyb0RvYy54bWxQSwUGAAAAAAYABgBZAQAAcg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7StquIBAADMAwAADgAA&#10;AAAAAAABACAAAAAeAQAAZHJzL2Uyb0RvYy54bWxQSwUGAAAAAAYABgBZAQAAcg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3"/>
      </w:pPr>
      <w:r>
        <w:separator/>
      </w:r>
    </w:p>
  </w:footnote>
  <w:footnote w:type="continuationSeparator" w:id="1">
    <w:p>
      <w:pPr>
        <w:ind w:firstLine="64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attachedTemplate r:id="rId1"/>
  <w:documentProtection w:enforcement="0"/>
  <w:defaultTabStop w:val="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YjcyYTE3ZGQ3YjYyYTEwZjhhNjkzMWI5NmU3OWMifQ=="/>
  </w:docVars>
  <w:rsids>
    <w:rsidRoot w:val="27D40277"/>
    <w:rsid w:val="000275B3"/>
    <w:rsid w:val="00063C94"/>
    <w:rsid w:val="000F374B"/>
    <w:rsid w:val="001F7F7E"/>
    <w:rsid w:val="00345A29"/>
    <w:rsid w:val="00372FE4"/>
    <w:rsid w:val="003F6FBF"/>
    <w:rsid w:val="00602D08"/>
    <w:rsid w:val="00617087"/>
    <w:rsid w:val="00701663"/>
    <w:rsid w:val="00803AE2"/>
    <w:rsid w:val="0084741D"/>
    <w:rsid w:val="00890BF5"/>
    <w:rsid w:val="008F1CB4"/>
    <w:rsid w:val="009057F0"/>
    <w:rsid w:val="00981E43"/>
    <w:rsid w:val="00A96BCB"/>
    <w:rsid w:val="00B62365"/>
    <w:rsid w:val="00C47895"/>
    <w:rsid w:val="00CA4113"/>
    <w:rsid w:val="00CD5A87"/>
    <w:rsid w:val="00D417F9"/>
    <w:rsid w:val="00E54A95"/>
    <w:rsid w:val="00E67D33"/>
    <w:rsid w:val="00F74953"/>
    <w:rsid w:val="00FE3E56"/>
    <w:rsid w:val="00FE6033"/>
    <w:rsid w:val="050F7C41"/>
    <w:rsid w:val="06257970"/>
    <w:rsid w:val="065C6F5A"/>
    <w:rsid w:val="06B31420"/>
    <w:rsid w:val="073D1C0C"/>
    <w:rsid w:val="07941252"/>
    <w:rsid w:val="07F43A9E"/>
    <w:rsid w:val="087C0907"/>
    <w:rsid w:val="0A4707FD"/>
    <w:rsid w:val="0A6F565E"/>
    <w:rsid w:val="0A7F07CB"/>
    <w:rsid w:val="0B464611"/>
    <w:rsid w:val="0BE300B2"/>
    <w:rsid w:val="0DB22432"/>
    <w:rsid w:val="0DF656AC"/>
    <w:rsid w:val="0FD541B5"/>
    <w:rsid w:val="11D32976"/>
    <w:rsid w:val="139234C0"/>
    <w:rsid w:val="14096B23"/>
    <w:rsid w:val="150177FB"/>
    <w:rsid w:val="161A6DC6"/>
    <w:rsid w:val="16751D7F"/>
    <w:rsid w:val="1844012A"/>
    <w:rsid w:val="1B8E69A0"/>
    <w:rsid w:val="1C4F6C7E"/>
    <w:rsid w:val="1EB13564"/>
    <w:rsid w:val="210A63A5"/>
    <w:rsid w:val="25777D91"/>
    <w:rsid w:val="26D93B30"/>
    <w:rsid w:val="27D40277"/>
    <w:rsid w:val="28646323"/>
    <w:rsid w:val="290E5C8A"/>
    <w:rsid w:val="29313F58"/>
    <w:rsid w:val="2A377AEF"/>
    <w:rsid w:val="2A922F77"/>
    <w:rsid w:val="2AE537F2"/>
    <w:rsid w:val="2E334A71"/>
    <w:rsid w:val="33F26952"/>
    <w:rsid w:val="35483EE4"/>
    <w:rsid w:val="3B457B92"/>
    <w:rsid w:val="3B996735"/>
    <w:rsid w:val="3C092149"/>
    <w:rsid w:val="3D37175C"/>
    <w:rsid w:val="3E014244"/>
    <w:rsid w:val="41886A2A"/>
    <w:rsid w:val="44641089"/>
    <w:rsid w:val="44D53D34"/>
    <w:rsid w:val="469D4D26"/>
    <w:rsid w:val="482254E2"/>
    <w:rsid w:val="49287377"/>
    <w:rsid w:val="4DC4703C"/>
    <w:rsid w:val="4EA37E21"/>
    <w:rsid w:val="4F0E1669"/>
    <w:rsid w:val="4FAB400F"/>
    <w:rsid w:val="50355FCF"/>
    <w:rsid w:val="50447FC0"/>
    <w:rsid w:val="5067713D"/>
    <w:rsid w:val="53193986"/>
    <w:rsid w:val="53CC27A6"/>
    <w:rsid w:val="552770F4"/>
    <w:rsid w:val="554747DA"/>
    <w:rsid w:val="55805F3E"/>
    <w:rsid w:val="56617AD3"/>
    <w:rsid w:val="56EB9A19"/>
    <w:rsid w:val="59282B75"/>
    <w:rsid w:val="5BA362DD"/>
    <w:rsid w:val="5D4810F0"/>
    <w:rsid w:val="60655865"/>
    <w:rsid w:val="617C75BF"/>
    <w:rsid w:val="64306D81"/>
    <w:rsid w:val="65264819"/>
    <w:rsid w:val="67876CB8"/>
    <w:rsid w:val="68993147"/>
    <w:rsid w:val="6DF80910"/>
    <w:rsid w:val="70BD64C5"/>
    <w:rsid w:val="72F21DD2"/>
    <w:rsid w:val="73C3551C"/>
    <w:rsid w:val="78AF606F"/>
    <w:rsid w:val="79C8590F"/>
    <w:rsid w:val="7A020420"/>
    <w:rsid w:val="7AAF05A8"/>
    <w:rsid w:val="7AC51B7A"/>
    <w:rsid w:val="7E9C5DAD"/>
    <w:rsid w:val="7F6E54D7"/>
    <w:rsid w:val="BE5F1B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Calibri" w:hAnsi="Calibri" w:eastAsia="方正仿宋简体" w:cs="Times New Roman"/>
      <w:b/>
      <w:kern w:val="2"/>
      <w:sz w:val="32"/>
      <w:szCs w:val="22"/>
      <w:lang w:val="en-US" w:eastAsia="zh-CN" w:bidi="ar-SA"/>
    </w:rPr>
  </w:style>
  <w:style w:type="paragraph" w:styleId="2">
    <w:name w:val="heading 1"/>
    <w:basedOn w:val="1"/>
    <w:next w:val="1"/>
    <w:qFormat/>
    <w:uiPriority w:val="9"/>
    <w:pPr>
      <w:spacing w:before="0" w:beforeAutospacing="0" w:after="0" w:afterAutospacing="0" w:line="600" w:lineRule="exact"/>
      <w:ind w:firstLine="0" w:firstLineChars="0"/>
      <w:jc w:val="center"/>
      <w:outlineLvl w:val="0"/>
    </w:pPr>
    <w:rPr>
      <w:rFonts w:hint="eastAsia" w:ascii="宋体" w:hAnsi="宋体" w:eastAsia="方正小标宋简体" w:cs="宋体"/>
      <w:kern w:val="44"/>
      <w:sz w:val="44"/>
      <w:szCs w:val="48"/>
      <w:lang w:bidi="ar"/>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脚 Char"/>
    <w:basedOn w:val="9"/>
    <w:link w:val="3"/>
    <w:semiHidden/>
    <w:qFormat/>
    <w:uiPriority w:val="99"/>
    <w:rPr>
      <w:kern w:val="2"/>
      <w:sz w:val="18"/>
      <w:szCs w:val="18"/>
    </w:rPr>
  </w:style>
  <w:style w:type="character" w:customStyle="1" w:styleId="12">
    <w:name w:val="页眉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25105;&#30340;&#24037;&#20316;\&#32508;&#21512;&#31185;\&#34892;&#25991;&#27169;&#26495;\&#27491;&#24335;&#21457;&#2599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正式发文.wpt</Template>
  <Pages>10</Pages>
  <Words>2259</Words>
  <Characters>2270</Characters>
  <Lines>3</Lines>
  <Paragraphs>1</Paragraphs>
  <TotalTime>6</TotalTime>
  <ScaleCrop>false</ScaleCrop>
  <LinksUpToDate>false</LinksUpToDate>
  <CharactersWithSpaces>2392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2024-06-18T00:44:00Z</dcterms:created>
  <dc:creator>微信用户</dc:creator>
  <cp:lastModifiedBy>微信用户</cp:lastModifiedBy>
  <dcterms:modified xsi:type="dcterms:W3CDTF">2024-06-18T00:56:25Z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FCBCB8DEB9EC4D4DB10B1431DDA9C3EA_11</vt:lpwstr>
  </property>
</Properties>
</file>