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128D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kern w:val="0"/>
          <w:sz w:val="43"/>
          <w:szCs w:val="43"/>
          <w:lang w:val="en-US" w:eastAsia="zh-CN" w:bidi="ar"/>
        </w:rPr>
      </w:pPr>
      <w:bookmarkStart w:id="0" w:name="_GoBack"/>
      <w:bookmarkEnd w:id="0"/>
      <w:r>
        <w:rPr>
          <w:rFonts w:hint="default" w:ascii="Times New Roman" w:hAnsi="Times New Roman" w:eastAsia="方正小标宋简体" w:cs="Times New Roman"/>
          <w:b/>
          <w:bCs/>
          <w:color w:val="000000"/>
          <w:kern w:val="0"/>
          <w:sz w:val="43"/>
          <w:szCs w:val="43"/>
          <w:lang w:val="en-US" w:eastAsia="zh-CN" w:bidi="ar"/>
        </w:rPr>
        <w:t>关于2024年工作总结及2025年工作计划的</w:t>
      </w:r>
    </w:p>
    <w:p w14:paraId="3ED43E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kern w:val="0"/>
          <w:sz w:val="43"/>
          <w:szCs w:val="43"/>
          <w:lang w:val="en-US" w:eastAsia="zh-CN" w:bidi="ar"/>
        </w:rPr>
      </w:pPr>
      <w:r>
        <w:rPr>
          <w:rFonts w:hint="default" w:ascii="Times New Roman" w:hAnsi="Times New Roman" w:eastAsia="方正小标宋简体" w:cs="Times New Roman"/>
          <w:b/>
          <w:bCs/>
          <w:color w:val="000000"/>
          <w:kern w:val="0"/>
          <w:sz w:val="43"/>
          <w:szCs w:val="43"/>
          <w:lang w:val="en-US" w:eastAsia="zh-CN" w:bidi="ar"/>
        </w:rPr>
        <w:t>报  告</w:t>
      </w:r>
    </w:p>
    <w:p w14:paraId="6AA8BA35">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楷体简体" w:cs="Times New Roman"/>
          <w:b/>
          <w:bCs/>
          <w:color w:val="000000"/>
          <w:kern w:val="0"/>
          <w:sz w:val="32"/>
          <w:szCs w:val="32"/>
          <w:lang w:val="en-US" w:eastAsia="zh-CN" w:bidi="ar"/>
        </w:rPr>
        <w:t>（纸坊镇）</w:t>
      </w:r>
    </w:p>
    <w:p w14:paraId="4D00F95C">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一、2024年工作总结</w:t>
      </w:r>
    </w:p>
    <w:p w14:paraId="39259D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（一）深化基础布局、寻求突破创新，经济动能提升显著。</w:t>
      </w:r>
    </w:p>
    <w:p w14:paraId="16D0483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一是工业经济扩容提升。</w:t>
      </w:r>
      <w:r>
        <w:rPr>
          <w:rFonts w:hint="default" w:ascii="Times New Roman" w:hAnsi="Times New Roman" w:eastAsia="方正仿宋简体" w:cs="Times New Roman"/>
          <w:b/>
          <w:bCs/>
          <w:sz w:val="32"/>
          <w:szCs w:val="32"/>
          <w:lang w:val="en-US" w:eastAsia="zh-CN"/>
        </w:rPr>
        <w:t>2024年1-8月份，全镇10家规模以上工业企业累计预计实现工业产值5.42亿元。规上服务业企业营收增幅达到45.36%，限上单位消费品零售额增幅32%，限额以上批发业销售额增幅27.1%，限额以上住宿业销售额增幅25.3%。预计实现外贸进出口9295万元，累计实现固定资产投资9.58亿元。1-8月份共实现地方一般公共预算收入4530万元，实现了地方可用财力的稳步增长，经济发展活力不断迸发。</w:t>
      </w:r>
    </w:p>
    <w:p w14:paraId="693064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楷体简体" w:cs="Times New Roman"/>
          <w:b/>
          <w:bCs/>
          <w:sz w:val="32"/>
          <w:szCs w:val="32"/>
          <w:lang w:val="en-US" w:eastAsia="zh-CN"/>
        </w:rPr>
        <w:t>二是现代农业提质提量。</w:t>
      </w:r>
      <w:r>
        <w:rPr>
          <w:rFonts w:hint="default" w:ascii="Times New Roman" w:hAnsi="Times New Roman" w:eastAsia="方正仿宋简体" w:cs="Times New Roman"/>
          <w:b/>
          <w:bCs/>
          <w:sz w:val="32"/>
          <w:szCs w:val="32"/>
          <w:lang w:val="en-US" w:eastAsia="zh-CN"/>
        </w:rPr>
        <w:t>圆满完成了10000亩纯作大豆和3000亩大豆玉米带状复合种植任务。集中利用一个月时间集中完成了408个撂荒地图斑的核实和整改工作；先后完成了3000亩粮油规模种植玉米单产提升项目和4000亩秸秆综合利用沃土模式县项目秸秆还田项目；新落地总投资5.5亿元的纸坊智慧农业产业园项目，钓鱼山蔬菜种植基地扩展至1200余亩。投资1000余万元新建预制菜服务中心1处，农业全产业链服务体系基本形成。</w:t>
      </w:r>
    </w:p>
    <w:p w14:paraId="38E9C4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三是项目招引成效明显。</w:t>
      </w:r>
      <w:r>
        <w:rPr>
          <w:rFonts w:hint="default" w:ascii="Times New Roman" w:hAnsi="Times New Roman" w:eastAsia="方正仿宋简体" w:cs="Times New Roman"/>
          <w:b/>
          <w:bCs/>
          <w:sz w:val="32"/>
          <w:szCs w:val="32"/>
          <w:lang w:val="en-US" w:eastAsia="zh-CN"/>
        </w:rPr>
        <w:t>始终把招商引资作为头号工程来抓，赴北京、深圳等地招商30余次，成功签约项目4个，共计29.3亿元。其中投资5.5亿元的智慧农业融合发展产业园项目和投资2.6亿元的100万吨建筑垃圾综合利用项目,均实现了当年签约当年落户当年开工。投资3.2亿元的国家大豆种业创新中心项目和投资1.6亿元的公路铁路装配式路基生产项目正在加速建设，投资20亿元的济宁野生动物园项目已经完成征地，打造旅游产业发展新高地。重点推进深圳英诺斐创新科技有限公司碳纤维自行车生产项目签约落地，紧紧抓住经济高质量发展的生命线。</w:t>
      </w:r>
    </w:p>
    <w:p w14:paraId="17CE0C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四是乡村文旅日渐兴盛。</w:t>
      </w:r>
      <w:r>
        <w:rPr>
          <w:rFonts w:hint="default" w:ascii="Times New Roman" w:hAnsi="Times New Roman" w:eastAsia="方正仿宋简体" w:cs="Times New Roman"/>
          <w:b/>
          <w:bCs/>
          <w:sz w:val="32"/>
          <w:szCs w:val="32"/>
          <w:lang w:val="en-US" w:eastAsia="zh-CN"/>
        </w:rPr>
        <w:t>借助入选全国传统村落集中连片保护利用示范县名单机遇，利用奖补资金3000万元将文旅业态和嘉菊种植融入5个国家级传统村落保护利用。推动原乡左岸、美丽隋庄等区域积极开发研学游、乡村游、露营打卡等多种业态，承办嘉祥第六届杏花节启动仪式、“畅游齐鲁·乐宿济宁”主题推广活动等文旅促消费活动5场，累计接待游客123.2万人次，拉动旅游社会收入近4000万元。</w:t>
      </w:r>
    </w:p>
    <w:p w14:paraId="4CC3E1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（二）提高管理标准，加强环保力度，着力提升人居环境。</w:t>
      </w:r>
    </w:p>
    <w:p w14:paraId="6966D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一是加大水体污染治理。</w:t>
      </w:r>
      <w:r>
        <w:rPr>
          <w:rFonts w:hint="default" w:ascii="Times New Roman" w:hAnsi="Times New Roman" w:eastAsia="方正仿宋简体" w:cs="Times New Roman"/>
          <w:b/>
          <w:bCs/>
          <w:sz w:val="32"/>
          <w:szCs w:val="32"/>
          <w:lang w:val="en-US" w:eastAsia="zh-CN"/>
        </w:rPr>
        <w:t>围绕汛前、汛期、秋冬季开展面源整治，打捞清理漂浮物160余吨，清理沿岸秸秆180余吨，有效确保了水质达标。组织大小船只5艘，人工10余人，对洙赵新河纸坊段3000余亩水面菹草进行全面打捞。</w:t>
      </w:r>
    </w:p>
    <w:p w14:paraId="1EC542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二是人居环境持续改善。</w:t>
      </w:r>
      <w:r>
        <w:rPr>
          <w:rFonts w:hint="default" w:ascii="Times New Roman" w:hAnsi="Times New Roman" w:eastAsia="方正仿宋简体" w:cs="Times New Roman"/>
          <w:b/>
          <w:bCs/>
          <w:sz w:val="32"/>
          <w:szCs w:val="32"/>
          <w:lang w:val="en-US" w:eastAsia="zh-CN"/>
        </w:rPr>
        <w:t>完善镇村干部环境整治责任体系，积极动员各村开展农村人居环境综合整治，累计栽植绿化苗木3200余株、粉刷墙体8000余平方，清理“四大堆”600余处、规范设置秸秆集中存放处40处，使村容村貌得到进一步提升。</w:t>
      </w:r>
    </w:p>
    <w:p w14:paraId="6BC493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三是开展污染企业整治。</w:t>
      </w:r>
      <w:r>
        <w:rPr>
          <w:rFonts w:hint="default" w:ascii="Times New Roman" w:hAnsi="Times New Roman" w:eastAsia="方正仿宋简体" w:cs="Times New Roman"/>
          <w:b/>
          <w:bCs/>
          <w:sz w:val="32"/>
          <w:szCs w:val="32"/>
          <w:lang w:val="en-US" w:eastAsia="zh-CN"/>
        </w:rPr>
        <w:t>今年以来清理取缔不符合镇产业规划、污染较突出“散乱污”加工点10余家，查处取缔镇驻地2家散煤销售点，清理取缔56处违规使用煤球炉。对镇域内现有符合规划、手续齐全的21家企业开展以VOCs治理、“一厂一策”为核心的综合治理。</w:t>
      </w:r>
    </w:p>
    <w:p w14:paraId="6A8EFFA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（三）增加发展动力，关注群众福祉，提升人民生活水平。</w:t>
      </w:r>
    </w:p>
    <w:p w14:paraId="471E04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一是民生工程扎实推进。</w:t>
      </w:r>
      <w:r>
        <w:rPr>
          <w:rFonts w:hint="default" w:ascii="Times New Roman" w:hAnsi="Times New Roman" w:eastAsia="方正仿宋简体" w:cs="Times New Roman"/>
          <w:b/>
          <w:bCs/>
          <w:sz w:val="32"/>
          <w:szCs w:val="32"/>
          <w:lang w:val="en-US" w:eastAsia="zh-CN"/>
        </w:rPr>
        <w:t>建立居民健康档案71299份，完成家医签约56763人，签约率74.5%。完成辖区老年人查体8984人、幼儿园查体1629人。投资373万元为嘉祥三中、中心小学等7所学校和幼儿园进行教学设备以及校舍维护全面提升，并投资60万拓展纸坊三中学校大门口区域两侧，为学生家长临时停车提供了便利，减轻了道路拥堵现象。</w:t>
      </w:r>
    </w:p>
    <w:p w14:paraId="487CA7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二是关爱保障困难群众。</w:t>
      </w:r>
      <w:r>
        <w:rPr>
          <w:rFonts w:hint="default" w:ascii="Times New Roman" w:hAnsi="Times New Roman" w:eastAsia="方正仿宋简体" w:cs="Times New Roman"/>
          <w:b/>
          <w:bCs/>
          <w:sz w:val="32"/>
          <w:szCs w:val="32"/>
          <w:lang w:val="en-US" w:eastAsia="zh-CN"/>
        </w:rPr>
        <w:t>对低收入人口实行动态监测，共有低保763户1409人，新纳入22户44人、清退11户17人。特困供养户191户193人。全镇享受残疾人生活补贴449人，发放资金每月76581元，残疾人护理补贴570人，发放资金每月90510元。目前，已救助三户“嘉快救”专项基金，支出5000元。</w:t>
      </w:r>
    </w:p>
    <w:p w14:paraId="5D5B16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三是推动完善社会保障。</w:t>
      </w:r>
      <w:r>
        <w:rPr>
          <w:rFonts w:hint="default" w:ascii="Times New Roman" w:hAnsi="Times New Roman" w:eastAsia="方正仿宋简体" w:cs="Times New Roman"/>
          <w:b/>
          <w:bCs/>
          <w:sz w:val="32"/>
          <w:szCs w:val="32"/>
          <w:lang w:val="en-US" w:eastAsia="zh-CN"/>
        </w:rPr>
        <w:t>2024年城乡居民养老保险缴费人数12037人，居民医疗保险缴费人数70948人。完成公益岗招聘，其中城镇公益岗3名，乡村公益岗138名。按照上级要求，开展公益岗扩容提质行动，在34个行政村安装人脸识别考勤机，公益岗工作日刷脸打卡。</w:t>
      </w:r>
    </w:p>
    <w:p w14:paraId="16C5D4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（四）提升治理水平、坚守底线原则，保障乡村和谐稳定。</w:t>
      </w:r>
    </w:p>
    <w:p w14:paraId="0FC701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一是凝聚片区发展合力。</w:t>
      </w:r>
      <w:r>
        <w:rPr>
          <w:rFonts w:hint="default" w:ascii="Times New Roman" w:hAnsi="Times New Roman" w:eastAsia="方正仿宋简体" w:cs="Times New Roman"/>
          <w:b/>
          <w:bCs/>
          <w:sz w:val="32"/>
          <w:szCs w:val="32"/>
          <w:lang w:val="en-US" w:eastAsia="zh-CN"/>
        </w:rPr>
        <w:t>依托“跨村联建”，统筹组织西焦村、张马街村、马市村等10个村党支部成立文旅融合联合党委。挖掘历史文化资源禀赋，以马市村、青山村、隋庄村等5个国家级传统村落为中心，将约500余间石头民居聚集区划分为“古村落红色责任区”，细化为22个网格，由联建村党支部成员担任“片长”，党员任网格长。</w:t>
      </w:r>
    </w:p>
    <w:p w14:paraId="78D463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二是守护安全生产底线。</w:t>
      </w:r>
      <w:r>
        <w:rPr>
          <w:rFonts w:hint="default" w:ascii="Times New Roman" w:hAnsi="Times New Roman" w:eastAsia="方正仿宋简体" w:cs="Times New Roman"/>
          <w:b/>
          <w:bCs/>
          <w:sz w:val="32"/>
          <w:szCs w:val="32"/>
          <w:lang w:val="en-US" w:eastAsia="zh-CN"/>
        </w:rPr>
        <w:t>针对安全生产中存在的突出问题，按照分类整治、突出重点的工作思路，采用专项整治与日常监管相结合的工作方法，对服装加工企业、烟花爆竹企业、危化品企业以及生态修复治理项目进行了重点排查并进行了专项整治。目前我镇累计检查单位670家次，发现一般隐患1600项，重大隐患8项，问题均已整改完毕。</w:t>
      </w:r>
    </w:p>
    <w:p w14:paraId="66162C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楷体简体" w:cs="Times New Roman"/>
          <w:b/>
          <w:bCs/>
          <w:sz w:val="32"/>
          <w:szCs w:val="32"/>
          <w:lang w:val="en-US" w:eastAsia="zh-CN"/>
        </w:rPr>
        <w:t>三是民声畅通化解矛盾。</w:t>
      </w:r>
      <w:r>
        <w:rPr>
          <w:rFonts w:hint="default" w:ascii="Times New Roman" w:hAnsi="Times New Roman" w:eastAsia="方正仿宋简体" w:cs="Times New Roman"/>
          <w:b/>
          <w:bCs/>
          <w:sz w:val="32"/>
          <w:szCs w:val="32"/>
          <w:lang w:val="en-US" w:eastAsia="zh-CN"/>
        </w:rPr>
        <w:t>今年以来，通过市政务服务便民热线、“嘉快办”平台、网络问政平台等5类渠道共受理各类群众诉求3302件。解决率97%，满意率98%。按照“属地管理、限时办结、务实高效、群众满意”的原则，压实各部门、服务区、村队及办理人员主体责任，确保事事有回音、件件有落实，用党员干部的“辛苦指数”换取群众的“幸福指数”。</w:t>
      </w:r>
    </w:p>
    <w:p w14:paraId="512AAE21">
      <w:pPr>
        <w:keepNext w:val="0"/>
        <w:keepLines w:val="0"/>
        <w:pageBreakBefore w:val="0"/>
        <w:widowControl/>
        <w:suppressLineNumbers w:val="0"/>
        <w:kinsoku/>
        <w:wordWrap/>
        <w:overflowPunct/>
        <w:topLinePunct w:val="0"/>
        <w:autoSpaceDE/>
        <w:autoSpaceDN/>
        <w:bidi w:val="0"/>
        <w:adjustRightInd/>
        <w:snapToGrid/>
        <w:spacing w:line="600" w:lineRule="exact"/>
        <w:ind w:firstLine="641" w:firstLineChars="200"/>
        <w:jc w:val="left"/>
        <w:textAlignment w:val="auto"/>
        <w:rPr>
          <w:rFonts w:hint="default" w:ascii="Times New Roman" w:hAnsi="Times New Roman" w:cs="Times New Roman"/>
          <w:sz w:val="32"/>
          <w:szCs w:val="32"/>
        </w:rPr>
      </w:pPr>
      <w:r>
        <w:rPr>
          <w:rFonts w:hint="default" w:ascii="Times New Roman" w:hAnsi="Times New Roman" w:eastAsia="方正黑体简体" w:cs="Times New Roman"/>
          <w:b/>
          <w:bCs/>
          <w:color w:val="000000"/>
          <w:kern w:val="0"/>
          <w:sz w:val="32"/>
          <w:szCs w:val="32"/>
          <w:lang w:val="en-US" w:eastAsia="zh-CN" w:bidi="ar"/>
        </w:rPr>
        <w:t>二、存在的问题不足及原因</w:t>
      </w:r>
    </w:p>
    <w:p w14:paraId="5BBE976E">
      <w:pPr>
        <w:keepNext w:val="0"/>
        <w:keepLines w:val="0"/>
        <w:pageBreakBefore w:val="0"/>
        <w:widowControl w:val="0"/>
        <w:kinsoku/>
        <w:wordWrap/>
        <w:overflowPunct/>
        <w:topLinePunct w:val="0"/>
        <w:autoSpaceDE/>
        <w:autoSpaceDN/>
        <w:bidi w:val="0"/>
        <w:adjustRightInd/>
        <w:snapToGrid/>
        <w:spacing w:line="600" w:lineRule="exact"/>
        <w:ind w:left="0" w:leftChars="0" w:firstLine="72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6"/>
          <w:szCs w:val="36"/>
          <w:lang w:val="en-US" w:eastAsia="zh-CN"/>
        </w:rPr>
        <w:t>一是工业经济回暖低于预期。</w:t>
      </w:r>
      <w:r>
        <w:rPr>
          <w:rFonts w:hint="default" w:ascii="Times New Roman" w:hAnsi="Times New Roman" w:eastAsia="方正仿宋简体" w:cs="Times New Roman"/>
          <w:b/>
          <w:bCs/>
          <w:color w:val="auto"/>
          <w:spacing w:val="0"/>
          <w:w w:val="100"/>
          <w:kern w:val="0"/>
          <w:sz w:val="32"/>
          <w:szCs w:val="32"/>
          <w:lang w:val="en-US" w:eastAsia="zh-CN" w:bidi="ar"/>
        </w:rPr>
        <w:t>年初对经济形势缺乏前瞻性研判，对经济下行压力认识不够充分，新纳统的2家工业企业对产值增速的支撑作用较为不足。对统计执法的突发情况, 在工作上没有提前制定预案, 应对措施不够及时、有力。压减</w:t>
      </w:r>
      <w:r>
        <w:rPr>
          <w:rFonts w:hint="default" w:ascii="Times New Roman" w:hAnsi="Times New Roman" w:eastAsia="方正仿宋简体" w:cs="Times New Roman"/>
          <w:b/>
          <w:bCs/>
          <w:kern w:val="2"/>
          <w:sz w:val="32"/>
          <w:szCs w:val="32"/>
          <w:lang w:val="en-US" w:eastAsia="zh-CN" w:bidi="ar-SA"/>
        </w:rPr>
        <w:t>仰盛建材产值8000余万，1-6月规上工业增加值同比下降6.4%，较1-5月份下降24.78个百分点，制造业增加值占比回落0.9%，导致工业经济工作陷入被动。</w:t>
      </w:r>
    </w:p>
    <w:p w14:paraId="75E0B8FE">
      <w:pPr>
        <w:keepNext w:val="0"/>
        <w:keepLines w:val="0"/>
        <w:pageBreakBefore w:val="0"/>
        <w:widowControl w:val="0"/>
        <w:kinsoku/>
        <w:wordWrap/>
        <w:overflowPunct/>
        <w:topLinePunct w:val="0"/>
        <w:autoSpaceDE/>
        <w:autoSpaceDN/>
        <w:bidi w:val="0"/>
        <w:adjustRightInd/>
        <w:snapToGrid/>
        <w:spacing w:line="600" w:lineRule="exact"/>
        <w:ind w:left="0" w:leftChars="0" w:firstLine="72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6"/>
          <w:szCs w:val="36"/>
          <w:lang w:val="en-US" w:eastAsia="zh-CN"/>
        </w:rPr>
        <w:t>二是优质企业建设进展不快。</w:t>
      </w:r>
      <w:r>
        <w:rPr>
          <w:rFonts w:hint="default" w:ascii="Times New Roman" w:hAnsi="Times New Roman" w:eastAsia="方正仿宋简体" w:cs="Times New Roman"/>
          <w:b/>
          <w:bCs/>
          <w:kern w:val="2"/>
          <w:sz w:val="32"/>
          <w:szCs w:val="32"/>
          <w:lang w:val="en-US" w:eastAsia="zh-CN" w:bidi="ar-SA"/>
        </w:rPr>
        <w:t>我镇工业基础薄弱，多为传统型的建材、石材企业，优质企业不足。今年以来仅欣丰种业1家成功申报省级专精特新，2家通过创新型中小企业，较去年2家、5家有一定程度的下滑。助企攀登在库企业储备不足，金昂电动、晶华洗涤因市场需求下降、海运费用上涨等情况，产值未有明显提升。</w:t>
      </w:r>
    </w:p>
    <w:p w14:paraId="5CAD4E3D">
      <w:pPr>
        <w:keepNext w:val="0"/>
        <w:keepLines w:val="0"/>
        <w:pageBreakBefore w:val="0"/>
        <w:widowControl w:val="0"/>
        <w:kinsoku/>
        <w:wordWrap/>
        <w:overflowPunct/>
        <w:topLinePunct w:val="0"/>
        <w:autoSpaceDE/>
        <w:autoSpaceDN/>
        <w:bidi w:val="0"/>
        <w:adjustRightInd/>
        <w:snapToGrid/>
        <w:spacing w:line="600" w:lineRule="exact"/>
        <w:ind w:left="0" w:leftChars="0" w:firstLine="72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6"/>
          <w:szCs w:val="36"/>
          <w:lang w:val="en-US" w:eastAsia="zh-CN"/>
        </w:rPr>
        <w:t>三是新兴产业发展乏力。</w:t>
      </w:r>
      <w:r>
        <w:rPr>
          <w:rFonts w:hint="default" w:ascii="Times New Roman" w:hAnsi="Times New Roman" w:eastAsia="方正仿宋简体" w:cs="Times New Roman"/>
          <w:b/>
          <w:bCs/>
          <w:kern w:val="2"/>
          <w:sz w:val="32"/>
          <w:szCs w:val="32"/>
          <w:lang w:val="en-US" w:eastAsia="zh-CN" w:bidi="ar-SA"/>
        </w:rPr>
        <w:t>因一些历史因素，省厅对济宁市新增数字经济企业审核严格，今年以来全县仅新增2家数字经济企业，我镇提报的3家企业未通过审核。目前仅剩一家在库企业菲斯特，1-6月大幅提高至7000万元，核心产业增加值3146万元，但企业总体规模偏小，贡献率较低。传统企业受制于市场订单、资金等因素，智能化改造升级存在挑战和困难。</w:t>
      </w:r>
    </w:p>
    <w:p w14:paraId="17B02EAF">
      <w:pPr>
        <w:keepNext w:val="0"/>
        <w:keepLines w:val="0"/>
        <w:pageBreakBefore w:val="0"/>
        <w:widowControl/>
        <w:suppressLineNumbers w:val="0"/>
        <w:kinsoku/>
        <w:wordWrap/>
        <w:overflowPunct/>
        <w:topLinePunct w:val="0"/>
        <w:autoSpaceDE/>
        <w:autoSpaceDN/>
        <w:bidi w:val="0"/>
        <w:adjustRightInd/>
        <w:snapToGrid/>
        <w:spacing w:line="600" w:lineRule="exact"/>
        <w:ind w:firstLine="621" w:firstLineChars="200"/>
        <w:jc w:val="left"/>
        <w:textAlignment w:val="auto"/>
        <w:rPr>
          <w:rFonts w:hint="default" w:ascii="Times New Roman" w:hAnsi="Times New Roman" w:cs="Times New Roman"/>
        </w:rPr>
      </w:pPr>
      <w:r>
        <w:rPr>
          <w:rFonts w:hint="default" w:ascii="Times New Roman" w:hAnsi="Times New Roman" w:eastAsia="方正黑体简体" w:cs="Times New Roman"/>
          <w:b/>
          <w:bCs/>
          <w:color w:val="000000"/>
          <w:kern w:val="0"/>
          <w:sz w:val="31"/>
          <w:szCs w:val="31"/>
          <w:lang w:val="en-US" w:eastAsia="zh-CN" w:bidi="ar"/>
        </w:rPr>
        <w:t>三、形势机遇和挑战</w:t>
      </w:r>
    </w:p>
    <w:p w14:paraId="6A05CA78">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val="0"/>
          <w:spacing w:val="0"/>
          <w:sz w:val="32"/>
          <w:szCs w:val="32"/>
          <w:lang w:val="en-US" w:eastAsia="zh-CN"/>
        </w:rPr>
      </w:pPr>
      <w:r>
        <w:rPr>
          <w:rFonts w:hint="default" w:ascii="Times New Roman" w:hAnsi="Times New Roman" w:eastAsia="方正楷体简体" w:cs="Times New Roman"/>
          <w:b/>
          <w:bCs w:val="0"/>
          <w:spacing w:val="0"/>
          <w:sz w:val="32"/>
          <w:szCs w:val="32"/>
          <w:lang w:val="en-US" w:eastAsia="zh-CN"/>
        </w:rPr>
        <w:t>一是紧抓产业发展</w:t>
      </w:r>
      <w:r>
        <w:rPr>
          <w:rFonts w:hint="default" w:ascii="Times New Roman" w:hAnsi="Times New Roman" w:eastAsia="方正楷体简体" w:cs="Times New Roman"/>
          <w:b/>
          <w:bCs/>
          <w:color w:val="000000"/>
          <w:spacing w:val="0"/>
          <w:kern w:val="0"/>
          <w:sz w:val="32"/>
          <w:szCs w:val="32"/>
          <w:lang w:val="en-US" w:eastAsia="zh-CN" w:bidi="ar"/>
        </w:rPr>
        <w:t>的</w:t>
      </w:r>
      <w:r>
        <w:rPr>
          <w:rFonts w:hint="default" w:ascii="Times New Roman" w:hAnsi="Times New Roman" w:eastAsia="方正楷体简体" w:cs="Times New Roman"/>
          <w:b/>
          <w:bCs w:val="0"/>
          <w:spacing w:val="0"/>
          <w:sz w:val="32"/>
          <w:szCs w:val="32"/>
          <w:lang w:val="en-US" w:eastAsia="zh-CN"/>
        </w:rPr>
        <w:t>机遇。</w:t>
      </w:r>
      <w:r>
        <w:rPr>
          <w:rFonts w:hint="default" w:ascii="Times New Roman" w:hAnsi="Times New Roman" w:eastAsia="方正仿宋简体" w:cs="Times New Roman"/>
          <w:b/>
          <w:bCs w:val="0"/>
          <w:spacing w:val="0"/>
          <w:sz w:val="32"/>
          <w:szCs w:val="32"/>
          <w:lang w:val="en-US" w:eastAsia="zh-CN"/>
        </w:rPr>
        <w:t>坚持优路径强动能，积极对上争取政策支持，利用外地乡贤、本地商户等人才支持，推动经济深度融合。聚焦营商环境优化提升，千方百计帮助企业纾难解困，不断激发民营经济新活力。</w:t>
      </w:r>
    </w:p>
    <w:p w14:paraId="026E48D6">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val="0"/>
          <w:spacing w:val="0"/>
          <w:sz w:val="32"/>
          <w:szCs w:val="32"/>
          <w:lang w:val="en-US" w:eastAsia="zh-CN"/>
        </w:rPr>
      </w:pPr>
      <w:r>
        <w:rPr>
          <w:rFonts w:hint="default" w:ascii="Times New Roman" w:hAnsi="Times New Roman" w:eastAsia="方正楷体简体" w:cs="Times New Roman"/>
          <w:b/>
          <w:bCs w:val="0"/>
          <w:spacing w:val="0"/>
          <w:sz w:val="32"/>
          <w:szCs w:val="32"/>
          <w:lang w:val="en-US" w:eastAsia="zh-CN"/>
        </w:rPr>
        <w:t>二要紧抓文旅融合的机遇。</w:t>
      </w:r>
      <w:r>
        <w:rPr>
          <w:rFonts w:hint="default" w:ascii="Times New Roman" w:hAnsi="Times New Roman" w:eastAsia="方正仿宋简体" w:cs="Times New Roman"/>
          <w:b/>
          <w:bCs w:val="0"/>
          <w:spacing w:val="0"/>
          <w:sz w:val="32"/>
          <w:szCs w:val="32"/>
          <w:lang w:val="en-US" w:eastAsia="zh-CN"/>
        </w:rPr>
        <w:t>坚持优产业强特色，大力推动纸坊旅游产业发展，围绕生态康养、文化旅游、休闲运动等主题，因地制宜打造特色旅游路线，继续招引重大文旅项目，着力构建全域旅游大格局。</w:t>
      </w:r>
    </w:p>
    <w:p w14:paraId="599CEB9E">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color w:val="000000"/>
          <w:spacing w:val="0"/>
          <w:kern w:val="0"/>
          <w:sz w:val="32"/>
          <w:szCs w:val="32"/>
          <w:lang w:val="en-US" w:eastAsia="zh-CN" w:bidi="ar"/>
        </w:rPr>
      </w:pPr>
      <w:r>
        <w:rPr>
          <w:rFonts w:hint="default" w:ascii="Times New Roman" w:hAnsi="Times New Roman" w:eastAsia="方正楷体简体" w:cs="Times New Roman"/>
          <w:b/>
          <w:bCs w:val="0"/>
          <w:spacing w:val="0"/>
          <w:sz w:val="32"/>
          <w:szCs w:val="32"/>
          <w:lang w:val="en-US" w:eastAsia="zh-CN"/>
        </w:rPr>
        <w:t>三是紧抓共同富裕的机遇。</w:t>
      </w:r>
      <w:r>
        <w:rPr>
          <w:rFonts w:hint="default" w:ascii="Times New Roman" w:hAnsi="Times New Roman" w:eastAsia="方正仿宋简体" w:cs="Times New Roman"/>
          <w:b/>
          <w:bCs/>
          <w:color w:val="000000"/>
          <w:spacing w:val="0"/>
          <w:kern w:val="0"/>
          <w:sz w:val="32"/>
          <w:szCs w:val="32"/>
          <w:lang w:val="en-US" w:eastAsia="zh-CN" w:bidi="ar"/>
        </w:rPr>
        <w:t>坚持稳就业促共富，加强困难群众兜底保障和探访关爱，进一步发挥文旅融合、党组织领办等“共富工坊”作用，帮助群众家门口解决就业难题，不断拓宽群众增收致富渠道。</w:t>
      </w:r>
    </w:p>
    <w:p w14:paraId="613E04C7">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color w:val="000000"/>
          <w:spacing w:val="0"/>
          <w:kern w:val="0"/>
          <w:sz w:val="32"/>
          <w:szCs w:val="32"/>
          <w:lang w:val="en-US" w:eastAsia="zh-CN" w:bidi="ar"/>
        </w:rPr>
      </w:pPr>
      <w:r>
        <w:rPr>
          <w:rFonts w:hint="default" w:ascii="Times New Roman" w:hAnsi="Times New Roman" w:eastAsia="方正楷体简体" w:cs="Times New Roman"/>
          <w:b/>
          <w:bCs w:val="0"/>
          <w:spacing w:val="0"/>
          <w:sz w:val="32"/>
          <w:szCs w:val="32"/>
          <w:lang w:val="en-US" w:eastAsia="zh-CN"/>
        </w:rPr>
        <w:t>四是紧抓生态和谐的机遇。</w:t>
      </w:r>
      <w:r>
        <w:rPr>
          <w:rFonts w:hint="default" w:ascii="Times New Roman" w:hAnsi="Times New Roman" w:eastAsia="方正仿宋简体" w:cs="Times New Roman"/>
          <w:b/>
          <w:bCs/>
          <w:color w:val="000000"/>
          <w:spacing w:val="0"/>
          <w:kern w:val="0"/>
          <w:sz w:val="32"/>
          <w:szCs w:val="32"/>
          <w:lang w:val="en-US" w:eastAsia="zh-CN" w:bidi="ar"/>
        </w:rPr>
        <w:t>坚持优生态强续航，深入践行“绿水青山就是金山银山”的发展理念，全面贯彻落实“河山林田长制”，打好“蓝天、碧水、净土”组合拳，持续提升生态系统多样性、稳定性、持续性。</w:t>
      </w:r>
    </w:p>
    <w:p w14:paraId="3A61BF84">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color w:val="000000"/>
          <w:spacing w:val="0"/>
          <w:kern w:val="0"/>
          <w:sz w:val="32"/>
          <w:szCs w:val="32"/>
          <w:lang w:val="en-US" w:eastAsia="zh-CN" w:bidi="ar"/>
        </w:rPr>
      </w:pPr>
      <w:r>
        <w:rPr>
          <w:rFonts w:hint="default" w:ascii="Times New Roman" w:hAnsi="Times New Roman" w:eastAsia="方正楷体简体" w:cs="Times New Roman"/>
          <w:b/>
          <w:bCs w:val="0"/>
          <w:spacing w:val="0"/>
          <w:sz w:val="32"/>
          <w:szCs w:val="32"/>
          <w:lang w:val="en-US" w:eastAsia="zh-CN"/>
        </w:rPr>
        <w:t>五是紧抓平安稳定的机遇。</w:t>
      </w:r>
      <w:r>
        <w:rPr>
          <w:rFonts w:hint="default" w:ascii="Times New Roman" w:hAnsi="Times New Roman" w:eastAsia="方正仿宋简体" w:cs="Times New Roman"/>
          <w:b/>
          <w:bCs/>
          <w:color w:val="000000"/>
          <w:spacing w:val="0"/>
          <w:kern w:val="0"/>
          <w:sz w:val="32"/>
          <w:szCs w:val="32"/>
          <w:lang w:val="en-US" w:eastAsia="zh-CN" w:bidi="ar"/>
        </w:rPr>
        <w:t>坚持优作风强稳定，迭代完善现代治理体系，深化各领域大排查大整治大提升行动，健全完善闭环整改机制，全力推动风险隐患“见底清零”，切实维护基层和谐稳定。</w:t>
      </w:r>
    </w:p>
    <w:p w14:paraId="5FC31D10">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黑体简体" w:cs="Times New Roman"/>
          <w:b/>
          <w:bCs/>
          <w:color w:val="000000"/>
          <w:kern w:val="0"/>
          <w:sz w:val="31"/>
          <w:szCs w:val="31"/>
          <w:lang w:val="en-US" w:eastAsia="zh-CN" w:bidi="ar"/>
        </w:rPr>
      </w:pPr>
      <w:r>
        <w:rPr>
          <w:rFonts w:hint="default" w:ascii="Times New Roman" w:hAnsi="Times New Roman" w:eastAsia="方正楷体简体" w:cs="Times New Roman"/>
          <w:b/>
          <w:bCs w:val="0"/>
          <w:spacing w:val="0"/>
          <w:sz w:val="32"/>
          <w:szCs w:val="32"/>
          <w:lang w:val="en-US" w:eastAsia="zh-CN"/>
        </w:rPr>
        <w:t>六是紧抓基层建强的机遇。</w:t>
      </w:r>
      <w:r>
        <w:rPr>
          <w:rFonts w:hint="default" w:ascii="Times New Roman" w:hAnsi="Times New Roman" w:eastAsia="方正仿宋简体" w:cs="Times New Roman"/>
          <w:b/>
          <w:bCs/>
          <w:color w:val="000000"/>
          <w:spacing w:val="0"/>
          <w:kern w:val="0"/>
          <w:sz w:val="32"/>
          <w:szCs w:val="32"/>
          <w:lang w:val="en-US" w:eastAsia="zh-CN" w:bidi="ar"/>
        </w:rPr>
        <w:t>坚持听党话跟党走，坚定不移坚持党的全面领导，持之以恒推进全面从严治党，一体推进群众身边不正之风和腐败问题集中整治，政治生态风清气正。</w:t>
      </w:r>
    </w:p>
    <w:p w14:paraId="6BC0F3E7">
      <w:pPr>
        <w:keepNext w:val="0"/>
        <w:keepLines w:val="0"/>
        <w:pageBreakBefore w:val="0"/>
        <w:widowControl/>
        <w:suppressLineNumbers w:val="0"/>
        <w:kinsoku/>
        <w:wordWrap/>
        <w:overflowPunct/>
        <w:topLinePunct w:val="0"/>
        <w:autoSpaceDE/>
        <w:autoSpaceDN/>
        <w:bidi w:val="0"/>
        <w:adjustRightInd/>
        <w:snapToGrid/>
        <w:spacing w:line="600" w:lineRule="exact"/>
        <w:ind w:firstLine="621" w:firstLineChars="200"/>
        <w:jc w:val="left"/>
        <w:textAlignment w:val="auto"/>
        <w:rPr>
          <w:rFonts w:hint="default" w:ascii="Times New Roman" w:hAnsi="Times New Roman" w:cs="Times New Roman"/>
        </w:rPr>
      </w:pPr>
      <w:r>
        <w:rPr>
          <w:rFonts w:hint="default" w:ascii="Times New Roman" w:hAnsi="Times New Roman" w:eastAsia="方正黑体简体" w:cs="Times New Roman"/>
          <w:b/>
          <w:bCs/>
          <w:color w:val="000000"/>
          <w:kern w:val="0"/>
          <w:sz w:val="31"/>
          <w:szCs w:val="31"/>
          <w:lang w:val="en-US" w:eastAsia="zh-CN" w:bidi="ar"/>
        </w:rPr>
        <w:t>四、</w:t>
      </w:r>
      <w:r>
        <w:rPr>
          <w:rFonts w:hint="default" w:ascii="Times New Roman" w:hAnsi="Times New Roman" w:eastAsia="宋体" w:cs="Times New Roman"/>
          <w:b/>
          <w:bCs/>
          <w:color w:val="000000"/>
          <w:kern w:val="0"/>
          <w:sz w:val="31"/>
          <w:szCs w:val="31"/>
          <w:lang w:val="en-US" w:eastAsia="zh-CN" w:bidi="ar"/>
        </w:rPr>
        <w:t>2025</w:t>
      </w:r>
      <w:r>
        <w:rPr>
          <w:rFonts w:hint="default" w:ascii="Times New Roman" w:hAnsi="Times New Roman" w:eastAsia="方正黑体简体" w:cs="Times New Roman"/>
          <w:b/>
          <w:bCs/>
          <w:color w:val="000000"/>
          <w:kern w:val="0"/>
          <w:sz w:val="31"/>
          <w:szCs w:val="31"/>
          <w:lang w:val="en-US" w:eastAsia="zh-CN" w:bidi="ar"/>
        </w:rPr>
        <w:t>年重点工作计划</w:t>
      </w:r>
    </w:p>
    <w:p w14:paraId="4BE04759">
      <w:pPr>
        <w:keepNext w:val="0"/>
        <w:keepLines w:val="0"/>
        <w:pageBreakBefore w:val="0"/>
        <w:widowControl/>
        <w:suppressLineNumbers w:val="0"/>
        <w:kinsoku/>
        <w:wordWrap/>
        <w:overflowPunct/>
        <w:topLinePunct w:val="0"/>
        <w:autoSpaceDE/>
        <w:autoSpaceDN/>
        <w:bidi w:val="0"/>
        <w:adjustRightInd/>
        <w:snapToGrid/>
        <w:spacing w:line="600" w:lineRule="exact"/>
        <w:ind w:firstLine="621" w:firstLineChars="200"/>
        <w:jc w:val="both"/>
        <w:textAlignment w:val="auto"/>
        <w:rPr>
          <w:rFonts w:hint="default" w:ascii="Times New Roman" w:hAnsi="Times New Roman" w:eastAsia="方正黑体简体" w:cs="Times New Roman"/>
          <w:b/>
          <w:bCs/>
          <w:color w:val="000000"/>
          <w:kern w:val="0"/>
          <w:sz w:val="31"/>
          <w:szCs w:val="31"/>
          <w:lang w:val="en-US" w:eastAsia="zh-CN" w:bidi="ar"/>
        </w:rPr>
      </w:pPr>
      <w:r>
        <w:rPr>
          <w:rFonts w:hint="default" w:ascii="Times New Roman" w:hAnsi="Times New Roman" w:eastAsia="方正黑体简体" w:cs="Times New Roman"/>
          <w:b/>
          <w:bCs/>
          <w:color w:val="000000"/>
          <w:kern w:val="0"/>
          <w:sz w:val="31"/>
          <w:szCs w:val="31"/>
          <w:lang w:val="en-US" w:eastAsia="zh-CN" w:bidi="ar"/>
        </w:rPr>
        <w:t>（一）工作总体思路及主要目标。</w:t>
      </w:r>
    </w:p>
    <w:p w14:paraId="6910775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以习近平新时代中国特色社会主义思想为指导，全面贯彻落实党的二十大精神和二十届二中全会精神，坚持稳中求进工作总基调，完整、准确、全面贯彻新发展理念，加快构建新发展格局，着力推动高质量发展，擦亮“绿水青山、文旅纸坊”品牌底色，按照“1351”可持续发展思路，保持真抓实干的状态，统筹抓好经济运行、项目建设、文旅融合、乡村振兴、民生保障等各项工作，坚定信心、铆足干劲，全力为纸坊镇争先进位和高质量发展聚势赋能。</w:t>
      </w:r>
    </w:p>
    <w:p w14:paraId="587744C0">
      <w:pPr>
        <w:keepNext w:val="0"/>
        <w:keepLines w:val="0"/>
        <w:pageBreakBefore w:val="0"/>
        <w:widowControl/>
        <w:suppressLineNumbers w:val="0"/>
        <w:kinsoku/>
        <w:wordWrap/>
        <w:overflowPunct/>
        <w:topLinePunct w:val="0"/>
        <w:autoSpaceDE/>
        <w:autoSpaceDN/>
        <w:bidi w:val="0"/>
        <w:adjustRightInd/>
        <w:snapToGrid/>
        <w:spacing w:line="600" w:lineRule="exact"/>
        <w:ind w:firstLine="621" w:firstLineChars="200"/>
        <w:jc w:val="both"/>
        <w:textAlignment w:val="auto"/>
        <w:rPr>
          <w:rFonts w:hint="default" w:ascii="Times New Roman" w:hAnsi="Times New Roman" w:cs="Times New Roman"/>
        </w:rPr>
      </w:pPr>
      <w:r>
        <w:rPr>
          <w:rFonts w:hint="default" w:ascii="Times New Roman" w:hAnsi="Times New Roman" w:eastAsia="方正黑体简体" w:cs="Times New Roman"/>
          <w:b/>
          <w:bCs/>
          <w:color w:val="000000"/>
          <w:kern w:val="0"/>
          <w:sz w:val="31"/>
          <w:szCs w:val="31"/>
          <w:lang w:val="en-US" w:eastAsia="zh-CN" w:bidi="ar"/>
        </w:rPr>
        <w:t>（二）2025年重点工作及举措</w:t>
      </w:r>
    </w:p>
    <w:p w14:paraId="5D1DDB2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pPr>
      <w:r>
        <w:rPr>
          <w:rFonts w:hint="default" w:ascii="Times New Roman" w:hAnsi="Times New Roman" w:eastAsia="方正楷体简体" w:cs="Times New Roman"/>
          <w:b/>
          <w:bCs w:val="0"/>
          <w:i w:val="0"/>
          <w:iCs w:val="0"/>
          <w:caps w:val="0"/>
          <w:spacing w:val="0"/>
          <w:kern w:val="2"/>
          <w:sz w:val="32"/>
          <w:szCs w:val="32"/>
          <w:shd w:val="clear" w:fill="FFFFFF"/>
          <w:lang w:val="en-US" w:eastAsia="zh-CN" w:bidi="ar-SA"/>
        </w:rPr>
        <w:t>1、</w:t>
      </w:r>
      <w:r>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t>行富民强民之举，务经济发展之实，确保经济发展稳中向好</w:t>
      </w:r>
    </w:p>
    <w:p w14:paraId="7C951F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r>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t xml:space="preserve"> </w:t>
      </w:r>
      <w:r>
        <w:rPr>
          <w:rFonts w:hint="default" w:ascii="Times New Roman" w:hAnsi="Times New Roman" w:eastAsia="方正黑体简体" w:cs="Times New Roman"/>
          <w:b/>
          <w:bCs/>
          <w:color w:val="000000"/>
          <w:spacing w:val="0"/>
          <w:kern w:val="0"/>
          <w:sz w:val="32"/>
          <w:szCs w:val="32"/>
          <w:lang w:val="en-US" w:eastAsia="zh-CN" w:bidi="ar"/>
        </w:rPr>
        <w:t>一是强化攻坚，抓实落地，加快推进项目建设。</w:t>
      </w:r>
      <w:r>
        <w:rPr>
          <w:rFonts w:hint="default" w:ascii="Times New Roman" w:hAnsi="Times New Roman" w:eastAsia="方正仿宋简体" w:cs="Times New Roman"/>
          <w:b/>
          <w:bCs/>
          <w:sz w:val="32"/>
          <w:szCs w:val="32"/>
          <w:highlight w:val="none"/>
          <w:lang w:val="en-US" w:eastAsia="zh-CN"/>
        </w:rPr>
        <w:t>进一步加强与发改、工信、投促等县直部门的沟通协作, 优化信息共享机制。力促济宁野生动物园等过10亿元重点项目三季度完成纳统入库。推进总投资8.5亿元的智慧农业产业融合示范园、国家大豆种业创新中心等2个项目建设，抓实康益冷链、四联建材等13个固投在库项目储备，深化全流程服务，确保按时投产、达效，形成新的产能。</w:t>
      </w:r>
    </w:p>
    <w:p w14:paraId="2FEB111C">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黑体简体" w:cs="Times New Roman"/>
          <w:b/>
          <w:bCs/>
          <w:color w:val="000000"/>
          <w:spacing w:val="0"/>
          <w:kern w:val="0"/>
          <w:sz w:val="32"/>
          <w:szCs w:val="32"/>
          <w:highlight w:val="none"/>
          <w:lang w:val="en-US" w:eastAsia="zh-CN" w:bidi="ar"/>
        </w:rPr>
        <w:t>二是统筹规划、持续发力，奋力推动经济运行。</w:t>
      </w:r>
      <w:r>
        <w:rPr>
          <w:rFonts w:hint="default" w:ascii="Times New Roman" w:hAnsi="Times New Roman" w:eastAsia="方正仿宋简体" w:cs="Times New Roman"/>
          <w:b/>
          <w:bCs/>
          <w:sz w:val="32"/>
          <w:szCs w:val="32"/>
          <w:highlight w:val="none"/>
          <w:lang w:val="en-US" w:eastAsia="zh-CN"/>
        </w:rPr>
        <w:t>定期召开经济运行分析会议，聚焦工业产值增速、制造业增加值占比等5项弱势指标，强化督导调度，算清增长、缺口两本账。加强重点税源日常监管，开展财源建设工作经常性调度分析，提高重点企业跟踪管理的针对性和有效性，做到“三抓三不放”。加强推进高新技术企业和优质工业企业申报工作，新增晶华日化、欣丰种业等2家企业申报高企，3家企业申报市级单项冠军企业。</w:t>
      </w:r>
    </w:p>
    <w:p w14:paraId="66A995F7">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黑体简体" w:cs="Times New Roman"/>
          <w:b/>
          <w:bCs/>
          <w:color w:val="000000"/>
          <w:spacing w:val="0"/>
          <w:kern w:val="0"/>
          <w:sz w:val="32"/>
          <w:szCs w:val="32"/>
          <w:lang w:val="en-US" w:eastAsia="zh-CN" w:bidi="ar"/>
        </w:rPr>
        <w:t>三是多措并举、综合施策，全面激活消费市场。</w:t>
      </w:r>
      <w:r>
        <w:rPr>
          <w:rFonts w:hint="default" w:ascii="Times New Roman" w:hAnsi="Times New Roman" w:eastAsia="方正仿宋简体" w:cs="Times New Roman"/>
          <w:b/>
          <w:bCs/>
          <w:sz w:val="32"/>
          <w:szCs w:val="32"/>
          <w:lang w:val="en-US" w:eastAsia="zh-CN"/>
        </w:rPr>
        <w:t>在拓展消费场景、丰富消费业态上下功夫，实施以旧换新行动，举办乡村旅游节、非物质文化展演、九顶山户外探险等活动，打造原乡左岸、德信啤酒等“夜间经济”夜经济消费集聚区</w:t>
      </w:r>
      <w:r>
        <w:rPr>
          <w:rFonts w:hint="eastAsia" w:ascii="Times New Roman" w:hAnsi="Times New Roman" w:eastAsia="方正仿宋简体" w:cs="Times New Roman"/>
          <w:b/>
          <w:bCs/>
          <w:sz w:val="32"/>
          <w:szCs w:val="32"/>
          <w:lang w:val="en-US" w:eastAsia="zh-CN"/>
        </w:rPr>
        <w:t>，预计旅游人数、收入下半年增长20%以上</w:t>
      </w:r>
      <w:r>
        <w:rPr>
          <w:rFonts w:hint="default" w:ascii="Times New Roman" w:hAnsi="Times New Roman" w:eastAsia="方正仿宋简体" w:cs="Times New Roman"/>
          <w:b/>
          <w:bCs/>
          <w:sz w:val="32"/>
          <w:szCs w:val="32"/>
          <w:lang w:val="en-US" w:eastAsia="zh-CN"/>
        </w:rPr>
        <w:t>。围绕县定限上消费品零售额增速6%的目标，重点对乐淘淘商贸、森帝生物等企业提前开展数据预报。推进祥城上厨、畅嘉餐饮等准规上企业升规纳统，做大规上商贸业企业基本盘。</w:t>
      </w:r>
    </w:p>
    <w:p w14:paraId="1A0F57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pPr>
      <w:r>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t>2、持绿色发展之念，践生态文明之行，促进人居环境宜业宜居</w:t>
      </w:r>
    </w:p>
    <w:p w14:paraId="547A6C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color w:val="000000"/>
          <w:kern w:val="0"/>
          <w:sz w:val="32"/>
          <w:szCs w:val="32"/>
          <w:highlight w:val="none"/>
          <w:lang w:val="en-US" w:eastAsia="zh-CN" w:bidi="ar"/>
        </w:rPr>
      </w:pPr>
      <w:r>
        <w:rPr>
          <w:rFonts w:hint="default" w:ascii="Times New Roman" w:hAnsi="Times New Roman" w:eastAsia="方正黑体简体" w:cs="Times New Roman"/>
          <w:b/>
          <w:bCs/>
          <w:color w:val="000000"/>
          <w:spacing w:val="0"/>
          <w:kern w:val="0"/>
          <w:sz w:val="32"/>
          <w:szCs w:val="32"/>
          <w:lang w:val="en-US" w:eastAsia="zh-CN" w:bidi="ar"/>
        </w:rPr>
        <w:t>一是加强环境生态整治。</w:t>
      </w:r>
      <w:r>
        <w:rPr>
          <w:rFonts w:hint="default" w:ascii="Times New Roman" w:hAnsi="Times New Roman" w:eastAsia="方正仿宋简体" w:cs="Times New Roman"/>
          <w:b/>
          <w:bCs/>
          <w:color w:val="000000"/>
          <w:kern w:val="0"/>
          <w:sz w:val="32"/>
          <w:szCs w:val="32"/>
          <w:highlight w:val="none"/>
          <w:lang w:val="en-US" w:eastAsia="zh-CN" w:bidi="ar"/>
        </w:rPr>
        <w:t>完善生活垃圾收运体系，优化收集转运流程，降低成本，建立长效监督机制，确保垃圾日产日清。强化河流沿线水环境治理，发挥“河长制”效能，加大巡查力度频次，严防人为倾倒垃圾、废物等现象的发生。积极和县局沟通，持续加强水质监测预警和应急处置，24小时紧盯水质在线监测数据，时刻掌握水质变化情况确保水质安全。</w:t>
      </w:r>
    </w:p>
    <w:p w14:paraId="17A0A2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color w:val="000000"/>
          <w:kern w:val="0"/>
          <w:sz w:val="32"/>
          <w:szCs w:val="32"/>
          <w:highlight w:val="none"/>
          <w:lang w:val="en-US" w:eastAsia="zh-CN" w:bidi="ar"/>
        </w:rPr>
      </w:pPr>
      <w:r>
        <w:rPr>
          <w:rFonts w:hint="default" w:ascii="Times New Roman" w:hAnsi="Times New Roman" w:eastAsia="方正黑体简体" w:cs="Times New Roman"/>
          <w:b/>
          <w:bCs/>
          <w:color w:val="000000"/>
          <w:spacing w:val="0"/>
          <w:kern w:val="0"/>
          <w:sz w:val="32"/>
          <w:szCs w:val="32"/>
          <w:lang w:val="en-US" w:eastAsia="zh-CN" w:bidi="ar"/>
        </w:rPr>
        <w:t>二是推进环境修复治理。</w:t>
      </w:r>
      <w:r>
        <w:rPr>
          <w:rFonts w:hint="default" w:ascii="Times New Roman" w:hAnsi="Times New Roman" w:eastAsia="方正仿宋简体" w:cs="Times New Roman"/>
          <w:b/>
          <w:bCs/>
          <w:sz w:val="32"/>
          <w:szCs w:val="32"/>
          <w:highlight w:val="none"/>
          <w:lang w:val="en-US" w:eastAsia="zh-CN"/>
        </w:rPr>
        <w:t>落实石材行业和矿山地质环境恢复治理项目大气污染，关停不符合环保要求的石材、矿山企业，加大对石材加工含砂石洗选的监管力度，控制扬尘污染。督促施工工地严格落实扬尘污染防治“8个100%”、6项加细加严措施、夜间停工制度及视频和PM10在线监控。做好散乱污企业整治“回头看”工作，严防死灰复燃现象和异地转产。</w:t>
      </w:r>
    </w:p>
    <w:p w14:paraId="056BD4EB">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firstLine="641" w:firstLineChars="200"/>
        <w:textAlignment w:val="auto"/>
        <w:outlineLvl w:val="4"/>
        <w:rPr>
          <w:rFonts w:hint="default" w:ascii="Times New Roman" w:hAnsi="Times New Roman" w:eastAsia="方正仿宋简体" w:cs="Times New Roman"/>
          <w:b/>
          <w:bCs/>
          <w:kern w:val="2"/>
          <w:sz w:val="32"/>
          <w:szCs w:val="32"/>
          <w:highlight w:val="none"/>
          <w:lang w:val="en-US" w:eastAsia="zh-CN" w:bidi="ar-SA"/>
        </w:rPr>
      </w:pPr>
      <w:r>
        <w:rPr>
          <w:rFonts w:hint="default" w:ascii="Times New Roman" w:hAnsi="Times New Roman" w:eastAsia="方正黑体简体" w:cs="Times New Roman"/>
          <w:b/>
          <w:bCs/>
          <w:color w:val="000000"/>
          <w:spacing w:val="0"/>
          <w:kern w:val="0"/>
          <w:sz w:val="32"/>
          <w:szCs w:val="32"/>
          <w:lang w:val="en-US" w:eastAsia="zh-CN" w:bidi="ar"/>
        </w:rPr>
        <w:t>三是优化乡村公共环境。</w:t>
      </w:r>
      <w:r>
        <w:rPr>
          <w:rFonts w:hint="default" w:ascii="Times New Roman" w:hAnsi="Times New Roman" w:eastAsia="方正仿宋简体" w:cs="Times New Roman"/>
          <w:b/>
          <w:bCs/>
          <w:kern w:val="2"/>
          <w:sz w:val="32"/>
          <w:szCs w:val="32"/>
          <w:highlight w:val="none"/>
          <w:lang w:val="en-US" w:eastAsia="zh-CN" w:bidi="ar-SA"/>
        </w:rPr>
        <w:t>全面清理私搭乱建、乱堆乱放，整治残垣断壁，通过集约利用村庄内部闲置土地等方式扩大村庄公共空间，计划每个村增设停车位10-15个，解决停车难题。利用农村“四旁”植树造林，建设小微公园与公共绿地，全面优化乡村公共环境。</w:t>
      </w:r>
    </w:p>
    <w:p w14:paraId="5A1A68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pPr>
      <w:r>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t>3、怀亲民爱民之心，尽为民惠民之责，确保民生事业和谐稳定</w:t>
      </w:r>
    </w:p>
    <w:p w14:paraId="55401CD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1" w:firstLineChars="200"/>
        <w:jc w:val="left"/>
        <w:textAlignment w:val="auto"/>
        <w:rPr>
          <w:rFonts w:hint="default" w:ascii="Times New Roman" w:hAnsi="Times New Roman" w:eastAsia="方正仿宋简体" w:cs="Times New Roman"/>
          <w:b/>
          <w:bCs w:val="0"/>
          <w:spacing w:val="0"/>
          <w:sz w:val="32"/>
          <w:szCs w:val="32"/>
          <w:highlight w:val="lightGray"/>
          <w:lang w:val="en-US" w:eastAsia="zh-CN"/>
        </w:rPr>
      </w:pPr>
      <w:r>
        <w:rPr>
          <w:rFonts w:hint="default" w:ascii="Times New Roman" w:hAnsi="Times New Roman" w:eastAsia="方正黑体简体" w:cs="Times New Roman"/>
          <w:b/>
          <w:bCs/>
          <w:color w:val="000000"/>
          <w:spacing w:val="0"/>
          <w:kern w:val="0"/>
          <w:sz w:val="32"/>
          <w:szCs w:val="32"/>
          <w:lang w:val="en-US" w:eastAsia="zh-CN" w:bidi="ar"/>
        </w:rPr>
        <w:t>一是聚焦农业发展。</w:t>
      </w:r>
      <w:r>
        <w:rPr>
          <w:rFonts w:hint="default" w:ascii="Times New Roman" w:hAnsi="Times New Roman" w:eastAsia="方正仿宋简体" w:cs="Times New Roman"/>
          <w:b/>
          <w:bCs/>
          <w:color w:val="000000"/>
          <w:kern w:val="0"/>
          <w:sz w:val="32"/>
          <w:szCs w:val="32"/>
          <w:highlight w:val="none"/>
          <w:lang w:val="en-US" w:eastAsia="zh-CN" w:bidi="ar"/>
        </w:rPr>
        <w:t>立足土地增收，在守牢粮食安全底线的基础上，进一步拉长农业产业链，大力发展现代农业和按揭农业，依托圣丰、欣丰等2家农业龙头企业，引导各村通过对现有土地进行盘点进行村集体流转，与企业合作运营，让农户由种植户转为租户，在拿租金的基础上，可就近打工，增加村民收入。结合乡村生态旅游，以发展农产品加工、订单化回收+分红的运作模式，推动农产品生产、服务、加工、销售“四位一体”融合发展，建立现代农业产业体系，降低农业产业经营成本，提高农产品附加值。</w:t>
      </w:r>
    </w:p>
    <w:p w14:paraId="5852243B">
      <w:pPr>
        <w:keepNext w:val="0"/>
        <w:keepLines w:val="0"/>
        <w:pageBreakBefore w:val="0"/>
        <w:widowControl/>
        <w:suppressLineNumbers w:val="0"/>
        <w:kinsoku/>
        <w:wordWrap/>
        <w:overflowPunct/>
        <w:topLinePunct w:val="0"/>
        <w:autoSpaceDE/>
        <w:autoSpaceDN/>
        <w:bidi w:val="0"/>
        <w:adjustRightInd/>
        <w:snapToGrid/>
        <w:spacing w:line="600" w:lineRule="exact"/>
        <w:ind w:firstLine="641" w:firstLineChars="200"/>
        <w:jc w:val="left"/>
        <w:textAlignment w:val="auto"/>
        <w:rPr>
          <w:rFonts w:hint="default" w:ascii="Times New Roman" w:hAnsi="Times New Roman" w:eastAsia="方正仿宋简体" w:cs="Times New Roman"/>
          <w:b/>
          <w:bCs/>
          <w:color w:val="000000"/>
          <w:kern w:val="0"/>
          <w:sz w:val="32"/>
          <w:szCs w:val="32"/>
          <w:highlight w:val="none"/>
          <w:lang w:val="en-US" w:eastAsia="zh-CN" w:bidi="ar"/>
        </w:rPr>
      </w:pPr>
      <w:r>
        <w:rPr>
          <w:rFonts w:hint="default" w:ascii="Times New Roman" w:hAnsi="Times New Roman" w:eastAsia="方正黑体简体" w:cs="Times New Roman"/>
          <w:b/>
          <w:bCs/>
          <w:color w:val="000000"/>
          <w:spacing w:val="0"/>
          <w:kern w:val="0"/>
          <w:sz w:val="32"/>
          <w:szCs w:val="32"/>
          <w:highlight w:val="none"/>
          <w:lang w:val="en-US" w:eastAsia="zh-CN" w:bidi="ar"/>
        </w:rPr>
        <w:t>二是聚焦民生保障。</w:t>
      </w:r>
      <w:r>
        <w:rPr>
          <w:rFonts w:hint="default" w:ascii="Times New Roman" w:hAnsi="Times New Roman" w:eastAsia="方正仿宋简体" w:cs="Times New Roman"/>
          <w:b/>
          <w:bCs/>
          <w:color w:val="000000"/>
          <w:kern w:val="0"/>
          <w:sz w:val="32"/>
          <w:szCs w:val="32"/>
          <w:highlight w:val="none"/>
          <w:lang w:val="en-US" w:eastAsia="zh-CN" w:bidi="ar"/>
        </w:rPr>
        <w:t>坚持民政为民的发展理念，加快落实临时救助、“嘉快救”基金救助、慈善救助等多项救助举措。加强低保对象动态监测管理和健全帮扶机制，继续做好“低保扩围”工作，细化帮扶措施。积极宣传养老保险及医疗保险相关政策，鼓励居民积极参保，做到应保尽保。加强公共基础设施建设，积极创建嘉祥三中、四村小学国防教育特色学校。优化医疗资源配置，改扩建门诊楼，强化医护人员行风建设，不断提升</w:t>
      </w:r>
      <w:r>
        <w:rPr>
          <w:rFonts w:hint="default" w:ascii="Times New Roman" w:hAnsi="Times New Roman" w:eastAsia="方正仿宋简体" w:cs="Times New Roman"/>
          <w:b/>
          <w:bCs w:val="0"/>
          <w:spacing w:val="0"/>
          <w:sz w:val="32"/>
          <w:szCs w:val="32"/>
          <w:lang w:val="en-US" w:eastAsia="zh-CN"/>
        </w:rPr>
        <w:t>提升村级医疗卫生服务能力。</w:t>
      </w:r>
    </w:p>
    <w:p w14:paraId="170DF509">
      <w:pPr>
        <w:keepNext w:val="0"/>
        <w:keepLines w:val="0"/>
        <w:pageBreakBefore w:val="0"/>
        <w:widowControl/>
        <w:suppressLineNumbers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kern w:val="2"/>
          <w:sz w:val="32"/>
          <w:szCs w:val="32"/>
          <w:highlight w:val="none"/>
          <w:lang w:val="en-US" w:eastAsia="zh-CN"/>
        </w:rPr>
      </w:pPr>
      <w:r>
        <w:rPr>
          <w:rFonts w:hint="default" w:ascii="Times New Roman" w:hAnsi="Times New Roman" w:eastAsia="方正黑体简体" w:cs="Times New Roman"/>
          <w:b/>
          <w:bCs/>
          <w:color w:val="000000"/>
          <w:spacing w:val="0"/>
          <w:kern w:val="0"/>
          <w:sz w:val="32"/>
          <w:szCs w:val="32"/>
          <w:lang w:val="en-US" w:eastAsia="zh-CN" w:bidi="ar"/>
        </w:rPr>
        <w:t>三是聚焦社会治理。</w:t>
      </w:r>
      <w:r>
        <w:rPr>
          <w:rFonts w:hint="default" w:ascii="Times New Roman" w:hAnsi="Times New Roman" w:eastAsia="方正仿宋简体" w:cs="Times New Roman"/>
          <w:b/>
          <w:bCs/>
          <w:kern w:val="2"/>
          <w:sz w:val="32"/>
          <w:szCs w:val="32"/>
          <w:highlight w:val="none"/>
          <w:lang w:val="en-US" w:eastAsia="zh-CN"/>
        </w:rPr>
        <w:t>提升基层治理质量，热线工作实行群众诉求“红黄蓝”三色管理，</w:t>
      </w:r>
      <w:r>
        <w:rPr>
          <w:rFonts w:hint="default" w:ascii="Times New Roman" w:hAnsi="Times New Roman" w:eastAsia="方正仿宋简体" w:cs="Times New Roman"/>
          <w:b/>
          <w:bCs/>
          <w:sz w:val="32"/>
          <w:szCs w:val="32"/>
          <w:lang w:val="en-US" w:eastAsia="zh-CN"/>
        </w:rPr>
        <w:t>采取“三天一调度”等方式</w:t>
      </w:r>
      <w:r>
        <w:rPr>
          <w:rFonts w:hint="default" w:ascii="Times New Roman" w:hAnsi="Times New Roman" w:eastAsia="方正仿宋简体" w:cs="Times New Roman"/>
          <w:b/>
          <w:bCs/>
          <w:kern w:val="2"/>
          <w:sz w:val="32"/>
          <w:szCs w:val="32"/>
          <w:highlight w:val="none"/>
          <w:lang w:val="en-US" w:eastAsia="zh-CN"/>
        </w:rPr>
        <w:t>督导热线办理，切实提高群众满意度。完善安全生产制度建设，帮助企业建立健全安全生产规章制度，</w:t>
      </w:r>
      <w:r>
        <w:rPr>
          <w:rFonts w:hint="default" w:ascii="Times New Roman" w:hAnsi="Times New Roman" w:eastAsia="方正仿宋简体" w:cs="Times New Roman"/>
          <w:b/>
          <w:bCs/>
          <w:sz w:val="32"/>
          <w:szCs w:val="32"/>
          <w:lang w:val="en-US" w:eastAsia="zh-CN"/>
        </w:rPr>
        <w:t>加大安全隐患排查力度，对在建的项目企业，将与施工单位签订安全生产责任书，严格落实安全设施“三同时”制度。</w:t>
      </w:r>
      <w:r>
        <w:rPr>
          <w:rFonts w:hint="default" w:ascii="Times New Roman" w:hAnsi="Times New Roman" w:eastAsia="方正仿宋简体" w:cs="Times New Roman"/>
          <w:b/>
          <w:bCs/>
          <w:kern w:val="2"/>
          <w:sz w:val="32"/>
          <w:szCs w:val="32"/>
          <w:highlight w:val="none"/>
          <w:lang w:val="en-US" w:eastAsia="zh-CN"/>
        </w:rPr>
        <w:t>创新安全生产监管模式，推进网格化管理，督促企业落实安全生产主体责任，建立安全管理台帐和周报、月报等制度，实现安全生产监管的精细化、信息化管理。</w:t>
      </w:r>
    </w:p>
    <w:p w14:paraId="5238A7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pPr>
      <w:r>
        <w:rPr>
          <w:rStyle w:val="6"/>
          <w:rFonts w:hint="default" w:ascii="Times New Roman" w:hAnsi="Times New Roman" w:eastAsia="方正楷体简体" w:cs="Times New Roman"/>
          <w:bCs w:val="0"/>
          <w:i w:val="0"/>
          <w:iCs w:val="0"/>
          <w:caps w:val="0"/>
          <w:spacing w:val="0"/>
          <w:kern w:val="2"/>
          <w:sz w:val="32"/>
          <w:szCs w:val="32"/>
          <w:shd w:val="clear" w:color="auto" w:fill="FFFFFF"/>
          <w:lang w:val="en-US" w:eastAsia="zh-CN" w:bidi="ar-SA"/>
        </w:rPr>
        <w:t>4、兴求真务实之风，求狠抓落实之效，确保党风党纪从严落实</w:t>
      </w:r>
    </w:p>
    <w:p w14:paraId="01C72C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黑体简体" w:cs="Times New Roman"/>
          <w:b/>
          <w:bCs/>
          <w:color w:val="000000"/>
          <w:spacing w:val="0"/>
          <w:kern w:val="0"/>
          <w:sz w:val="32"/>
          <w:szCs w:val="32"/>
          <w:highlight w:val="none"/>
          <w:lang w:val="en-US" w:eastAsia="zh-CN" w:bidi="ar"/>
        </w:rPr>
        <w:t>一是夯实基层基础，增强凝聚党员群众功能。</w:t>
      </w:r>
      <w:r>
        <w:rPr>
          <w:rFonts w:hint="default" w:ascii="Times New Roman" w:hAnsi="Times New Roman" w:eastAsia="方正仿宋简体" w:cs="Times New Roman"/>
          <w:b/>
          <w:bCs/>
          <w:sz w:val="32"/>
          <w:szCs w:val="32"/>
          <w:highlight w:val="none"/>
          <w:lang w:val="en-US" w:eastAsia="zh-CN"/>
        </w:rPr>
        <w:t>坚持党管意识形态不动摇，</w:t>
      </w:r>
      <w:r>
        <w:rPr>
          <w:rFonts w:hint="default" w:ascii="Times New Roman" w:hAnsi="Times New Roman" w:eastAsia="方正仿宋简体" w:cs="Times New Roman"/>
          <w:b/>
          <w:bCs/>
          <w:sz w:val="32"/>
          <w:szCs w:val="32"/>
          <w:highlight w:val="none"/>
          <w:lang w:val="en-US" w:eastAsia="zh-CN"/>
        </w:rPr>
        <w:fldChar w:fldCharType="begin"/>
      </w:r>
      <w:r>
        <w:rPr>
          <w:rFonts w:hint="default" w:ascii="Times New Roman" w:hAnsi="Times New Roman" w:eastAsia="方正仿宋简体" w:cs="Times New Roman"/>
          <w:b/>
          <w:bCs/>
          <w:sz w:val="32"/>
          <w:szCs w:val="32"/>
          <w:highlight w:val="none"/>
          <w:lang w:val="en-US" w:eastAsia="zh-CN"/>
        </w:rPr>
        <w:instrText xml:space="preserve"> HYPERLINK "https://www.gwyoo.com/article/zhongjibaogao/gzhb/202101/734148.html" \t "https://www.gwyoo.com/Article/zhongjibaogao/gzhb/202101/_blank" </w:instrText>
      </w:r>
      <w:r>
        <w:rPr>
          <w:rFonts w:hint="default" w:ascii="Times New Roman" w:hAnsi="Times New Roman" w:eastAsia="方正仿宋简体" w:cs="Times New Roman"/>
          <w:b/>
          <w:bCs/>
          <w:sz w:val="32"/>
          <w:szCs w:val="32"/>
          <w:highlight w:val="none"/>
          <w:lang w:val="en-US" w:eastAsia="zh-CN"/>
        </w:rPr>
        <w:fldChar w:fldCharType="separate"/>
      </w:r>
      <w:r>
        <w:rPr>
          <w:rFonts w:hint="default" w:ascii="Times New Roman" w:hAnsi="Times New Roman" w:eastAsia="方正仿宋简体" w:cs="Times New Roman"/>
          <w:b/>
          <w:bCs/>
          <w:sz w:val="32"/>
          <w:szCs w:val="32"/>
          <w:highlight w:val="none"/>
          <w:lang w:val="en-US" w:eastAsia="zh-CN"/>
        </w:rPr>
        <w:t>落实</w:t>
      </w:r>
      <w:r>
        <w:rPr>
          <w:rFonts w:hint="default" w:ascii="Times New Roman" w:hAnsi="Times New Roman" w:eastAsia="方正仿宋简体" w:cs="Times New Roman"/>
          <w:b/>
          <w:bCs/>
          <w:sz w:val="32"/>
          <w:szCs w:val="32"/>
          <w:highlight w:val="none"/>
          <w:lang w:val="en-US" w:eastAsia="zh-CN"/>
        </w:rPr>
        <w:fldChar w:fldCharType="end"/>
      </w:r>
      <w:r>
        <w:rPr>
          <w:rFonts w:hint="default" w:ascii="Times New Roman" w:hAnsi="Times New Roman" w:eastAsia="方正仿宋简体" w:cs="Times New Roman"/>
          <w:b/>
          <w:bCs/>
          <w:sz w:val="32"/>
          <w:szCs w:val="32"/>
          <w:highlight w:val="none"/>
          <w:lang w:val="en-US" w:eastAsia="zh-CN"/>
        </w:rPr>
        <w:fldChar w:fldCharType="begin"/>
      </w:r>
      <w:r>
        <w:rPr>
          <w:rFonts w:hint="default" w:ascii="Times New Roman" w:hAnsi="Times New Roman" w:eastAsia="方正仿宋简体" w:cs="Times New Roman"/>
          <w:b/>
          <w:bCs/>
          <w:sz w:val="32"/>
          <w:szCs w:val="32"/>
          <w:highlight w:val="none"/>
          <w:lang w:val="en-US" w:eastAsia="zh-CN"/>
        </w:rPr>
        <w:instrText xml:space="preserve"> HYPERLINK "https://www.gwyoo.com/article/zhongjibaogao/gzhb/202101/734148.html" \t "https://www.gwyoo.com/Article/zhongjibaogao/gzhb/202101/_blank" </w:instrText>
      </w:r>
      <w:r>
        <w:rPr>
          <w:rFonts w:hint="default" w:ascii="Times New Roman" w:hAnsi="Times New Roman" w:eastAsia="方正仿宋简体" w:cs="Times New Roman"/>
          <w:b/>
          <w:bCs/>
          <w:sz w:val="32"/>
          <w:szCs w:val="32"/>
          <w:highlight w:val="none"/>
          <w:lang w:val="en-US" w:eastAsia="zh-CN"/>
        </w:rPr>
        <w:fldChar w:fldCharType="separate"/>
      </w:r>
      <w:r>
        <w:rPr>
          <w:rFonts w:hint="default" w:ascii="Times New Roman" w:hAnsi="Times New Roman" w:eastAsia="方正仿宋简体" w:cs="Times New Roman"/>
          <w:b/>
          <w:bCs/>
          <w:sz w:val="32"/>
          <w:szCs w:val="32"/>
          <w:highlight w:val="none"/>
          <w:lang w:val="en-US" w:eastAsia="zh-CN"/>
        </w:rPr>
        <w:t>意识形态</w:t>
      </w:r>
      <w:r>
        <w:rPr>
          <w:rFonts w:hint="default" w:ascii="Times New Roman" w:hAnsi="Times New Roman" w:eastAsia="方正仿宋简体" w:cs="Times New Roman"/>
          <w:b/>
          <w:bCs/>
          <w:sz w:val="32"/>
          <w:szCs w:val="32"/>
          <w:highlight w:val="none"/>
          <w:lang w:val="en-US" w:eastAsia="zh-CN"/>
        </w:rPr>
        <w:fldChar w:fldCharType="end"/>
      </w:r>
      <w:r>
        <w:rPr>
          <w:rFonts w:hint="default" w:ascii="Times New Roman" w:hAnsi="Times New Roman" w:eastAsia="方正仿宋简体" w:cs="Times New Roman"/>
          <w:b/>
          <w:bCs/>
          <w:sz w:val="32"/>
          <w:szCs w:val="32"/>
          <w:highlight w:val="none"/>
          <w:lang w:val="en-US" w:eastAsia="zh-CN"/>
        </w:rPr>
        <w:fldChar w:fldCharType="begin"/>
      </w:r>
      <w:r>
        <w:rPr>
          <w:rFonts w:hint="default" w:ascii="Times New Roman" w:hAnsi="Times New Roman" w:eastAsia="方正仿宋简体" w:cs="Times New Roman"/>
          <w:b/>
          <w:bCs/>
          <w:sz w:val="32"/>
          <w:szCs w:val="32"/>
          <w:highlight w:val="none"/>
          <w:lang w:val="en-US" w:eastAsia="zh-CN"/>
        </w:rPr>
        <w:instrText xml:space="preserve"> HYPERLINK "https://www.gwyoo.com/article/zhongjibaogao/gzhb/202101/734148.html" \t "https://www.gwyoo.com/Article/zhongjibaogao/gzhb/202101/_blank" </w:instrText>
      </w:r>
      <w:r>
        <w:rPr>
          <w:rFonts w:hint="default" w:ascii="Times New Roman" w:hAnsi="Times New Roman" w:eastAsia="方正仿宋简体" w:cs="Times New Roman"/>
          <w:b/>
          <w:bCs/>
          <w:sz w:val="32"/>
          <w:szCs w:val="32"/>
          <w:highlight w:val="none"/>
          <w:lang w:val="en-US" w:eastAsia="zh-CN"/>
        </w:rPr>
        <w:fldChar w:fldCharType="separate"/>
      </w:r>
      <w:r>
        <w:rPr>
          <w:rFonts w:hint="default" w:ascii="Times New Roman" w:hAnsi="Times New Roman" w:eastAsia="方正仿宋简体" w:cs="Times New Roman"/>
          <w:b/>
          <w:bCs/>
          <w:sz w:val="32"/>
          <w:szCs w:val="32"/>
          <w:highlight w:val="none"/>
          <w:lang w:val="en-US" w:eastAsia="zh-CN"/>
        </w:rPr>
        <w:t>工作责任制</w:t>
      </w:r>
      <w:r>
        <w:rPr>
          <w:rFonts w:hint="default" w:ascii="Times New Roman" w:hAnsi="Times New Roman" w:eastAsia="方正仿宋简体" w:cs="Times New Roman"/>
          <w:b/>
          <w:bCs/>
          <w:sz w:val="32"/>
          <w:szCs w:val="32"/>
          <w:highlight w:val="none"/>
          <w:lang w:val="en-US" w:eastAsia="zh-CN"/>
        </w:rPr>
        <w:fldChar w:fldCharType="end"/>
      </w:r>
      <w:r>
        <w:rPr>
          <w:rFonts w:hint="default" w:ascii="Times New Roman" w:hAnsi="Times New Roman" w:eastAsia="方正仿宋简体" w:cs="Times New Roman"/>
          <w:b/>
          <w:bCs/>
          <w:sz w:val="32"/>
          <w:szCs w:val="32"/>
          <w:highlight w:val="none"/>
          <w:lang w:val="en-US" w:eastAsia="zh-CN"/>
        </w:rPr>
        <w:t>，不断加强和改进意识形态领域工作。组织所有基层党组织到党建综合阵地开展至少2次全流程、规范化、标准化的党组织活动，全力提升党员党性意识。大力发扬“严、真、细、实、快”的优良作风，从严落实《镇村干部管理办法》，扎实做好轮流坐班、民事代办等工作。</w:t>
      </w:r>
    </w:p>
    <w:p w14:paraId="6903C4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color w:val="000000"/>
          <w:spacing w:val="0"/>
          <w:kern w:val="0"/>
          <w:sz w:val="32"/>
          <w:szCs w:val="32"/>
          <w:lang w:val="en-US" w:eastAsia="zh-CN" w:bidi="ar"/>
        </w:rPr>
        <w:t>二是强化作用发挥，打造先锋模范党员队伍。</w:t>
      </w:r>
      <w:r>
        <w:rPr>
          <w:rFonts w:hint="default" w:ascii="Times New Roman" w:hAnsi="Times New Roman" w:eastAsia="方正仿宋简体" w:cs="Times New Roman"/>
          <w:b/>
          <w:bCs/>
          <w:sz w:val="32"/>
          <w:szCs w:val="32"/>
          <w:lang w:val="en-US" w:eastAsia="zh-CN"/>
        </w:rPr>
        <w:t>始终把政治标准放在发展党员首位，同时优化发展结构，深化排查整顿工作成效。持续强化案例培训，开展典型教育，组织党员到武氏祠政德教育基地、镇孝廉文化基地等接受红色教育至少2次。借助镇党校主校区，组织入党积极分子、预备党员到初心隧道、两山论展馆、红色影院开展教学活动，做好党员教育培训工作。</w:t>
      </w:r>
    </w:p>
    <w:p w14:paraId="345C2D97">
      <w:pPr>
        <w:keepNext w:val="0"/>
        <w:keepLines w:val="0"/>
        <w:pageBreakBefore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color w:val="000000"/>
          <w:spacing w:val="0"/>
          <w:kern w:val="0"/>
          <w:sz w:val="32"/>
          <w:szCs w:val="32"/>
          <w:lang w:val="en-US" w:eastAsia="zh-CN" w:bidi="ar"/>
        </w:rPr>
        <w:t>三是正风肃纪反腐，营造风清气正政治生态。</w:t>
      </w:r>
      <w:r>
        <w:rPr>
          <w:rFonts w:hint="default" w:ascii="Times New Roman" w:hAnsi="Times New Roman" w:eastAsia="方正仿宋简体" w:cs="Times New Roman"/>
          <w:b/>
          <w:bCs/>
          <w:color w:val="auto"/>
          <w:sz w:val="32"/>
          <w:szCs w:val="32"/>
          <w:highlight w:val="none"/>
          <w:lang w:val="en-US" w:eastAsia="zh-CN"/>
        </w:rPr>
        <w:t>精准</w:t>
      </w:r>
      <w:r>
        <w:rPr>
          <w:rFonts w:hint="default" w:ascii="Times New Roman" w:hAnsi="Times New Roman" w:eastAsia="方正仿宋简体" w:cs="Times New Roman"/>
          <w:b/>
          <w:bCs/>
          <w:color w:val="000000"/>
          <w:kern w:val="2"/>
          <w:sz w:val="32"/>
          <w:szCs w:val="32"/>
          <w:lang w:val="en-US" w:eastAsia="zh-CN" w:bidi="ar"/>
        </w:rPr>
        <w:t>运用监督执纪“第一种形态”作为党员干部教育监督的重要抓手，紧盯重要节点、关键岗位、重要领域，贯彻</w:t>
      </w:r>
      <w:r>
        <w:rPr>
          <w:rFonts w:hint="default" w:ascii="Times New Roman" w:hAnsi="Times New Roman" w:eastAsia="方正仿宋简体" w:cs="Times New Roman"/>
          <w:b/>
          <w:bCs/>
          <w:sz w:val="32"/>
          <w:szCs w:val="32"/>
          <w:lang w:val="en-US" w:eastAsia="zh-CN"/>
        </w:rPr>
        <w:t>落实中央八项规定精神，加强反腐倡廉教育，完善惩防体系。常态化开展清廉文化宣传、思想警示教育，确保党风廉政建设和反腐败斗争取得新成效。</w:t>
      </w:r>
    </w:p>
    <w:p w14:paraId="30D02BB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lang w:eastAsia="zh-CN"/>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3856C03-8992-4449-BA9D-943F5CB103F7}"/>
  </w:font>
  <w:font w:name="方正黑体简体">
    <w:panose1 w:val="02000000000000000000"/>
    <w:charset w:val="86"/>
    <w:family w:val="auto"/>
    <w:pitch w:val="default"/>
    <w:sig w:usb0="A00002BF" w:usb1="184F6CFA" w:usb2="00000012" w:usb3="00000000" w:csb0="00040001" w:csb1="00000000"/>
    <w:embedRegular r:id="rId2" w:fontKey="{BE42191F-6A9B-4004-AA9E-80F7B413B605}"/>
  </w:font>
  <w:font w:name="方正楷体简体">
    <w:panose1 w:val="02000000000000000000"/>
    <w:charset w:val="86"/>
    <w:family w:val="auto"/>
    <w:pitch w:val="default"/>
    <w:sig w:usb0="A00002BF" w:usb1="184F6CFA" w:usb2="00000012" w:usb3="00000000" w:csb0="00040001" w:csb1="00000000"/>
    <w:embedRegular r:id="rId3" w:fontKey="{A18F8CB6-3120-435C-BB32-0F68FB294B6A}"/>
  </w:font>
  <w:font w:name="方正仿宋简体">
    <w:panose1 w:val="02000000000000000000"/>
    <w:charset w:val="86"/>
    <w:family w:val="auto"/>
    <w:pitch w:val="default"/>
    <w:sig w:usb0="A00002BF" w:usb1="184F6CFA" w:usb2="00000012" w:usb3="00000000" w:csb0="00040001" w:csb1="00000000"/>
    <w:embedRegular r:id="rId4" w:fontKey="{947B501E-0639-4200-B05F-E70D52AA89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GZiMzE3NzU0MjEwMDI2YmYxMzBiMDdmYzM4MWMifQ=="/>
  </w:docVars>
  <w:rsids>
    <w:rsidRoot w:val="00000000"/>
    <w:rsid w:val="21C07962"/>
    <w:rsid w:val="3E3406EA"/>
    <w:rsid w:val="4A6166B5"/>
    <w:rsid w:val="668F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5518</Words>
  <Characters>5769</Characters>
  <Lines>0</Lines>
  <Paragraphs>0</Paragraphs>
  <TotalTime>1</TotalTime>
  <ScaleCrop>false</ScaleCrop>
  <LinksUpToDate>false</LinksUpToDate>
  <CharactersWithSpaces>5775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2024-10-19T02:36:00Z</dcterms:created>
  <dc:creator>dell</dc:creator>
  <cp:lastModifiedBy>小盼头儿</cp:lastModifiedBy>
  <dcterms:modified xsi:type="dcterms:W3CDTF">2025-02-10T06:55:58Z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BD4A010904C84193800D17150600D2C5_13</vt:lpwstr>
  </property>
</Properties>
</file>