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嘉祥县财政局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嘉祥县财政局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嘉祥县财政局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联系（地址：嘉祥县呈祥大道1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号，联系电话：0537-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6506006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spacing w:line="590" w:lineRule="exact"/>
        <w:ind w:right="-105" w:rightChars="-50" w:firstLine="643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这一年来我单位政务公开工作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取得了较好的成效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切实将本级财政政务信息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做到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应公开尽公开，围绕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县委、县政府与上级财政部门的要求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真抓实干，进一步健全制度、落实责任、强化督查，不断深化政府信息公开工作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42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1630045</wp:posOffset>
            </wp:positionV>
            <wp:extent cx="4826000" cy="2743200"/>
            <wp:effectExtent l="4445" t="4445" r="8255" b="14605"/>
            <wp:wrapTopAndBottom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年嘉祥县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主动公开信息数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条，其中公开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财政预算决算专栏25条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政府采购信息13条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行政事业性收费目录21条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财政资金直达基层专栏9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1293495</wp:posOffset>
            </wp:positionV>
            <wp:extent cx="5256530" cy="2988310"/>
            <wp:effectExtent l="5080" t="4445" r="15240" b="55245"/>
            <wp:wrapTopAndBottom/>
            <wp:docPr id="2" name="图表 2" descr="7b0a202020202263686172745265734964223a20223230343736313232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2023年我单位新收依申请公开6件，其中予以公开1件，部分公开两件，因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本机关不掌握相关政府信息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无法提供3件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，均已按有关规定办结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按时办结率100%。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2023年我单位高度重视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政府信息管理制度建设，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完善信息发布、审核、更新等环节的管理制度，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政府信息动态更新机制，根据政策变化、社会需求等实际情况，及时调整公开范围、内容和方式，广泛听取公众意见和建议，推动政府信息管理的持续优化。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嘉祥县财政局将县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政府网站作为信息公开的核心平台，确保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信息的准确性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与时效性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积极配合县政府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丰富政府信息公开专栏内容，保障群众通过网络平台获取信息的权力。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我单位积极完善主动公开与依申请公开的审查流程和办理程序，优化政府信息公开的监督机制，定期对政务公开工作进行自查，严把信息发布关。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162"/>
        <w:gridCol w:w="2581"/>
        <w:gridCol w:w="829"/>
        <w:gridCol w:w="567"/>
        <w:gridCol w:w="567"/>
        <w:gridCol w:w="571"/>
        <w:gridCol w:w="567"/>
        <w:gridCol w:w="567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widowControl/>
              <w:spacing w:line="26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等于第三项加第四项之和）</w:t>
            </w:r>
          </w:p>
        </w:tc>
        <w:tc>
          <w:tcPr>
            <w:tcW w:w="4129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自然人</w:t>
            </w:r>
          </w:p>
        </w:tc>
        <w:tc>
          <w:tcPr>
            <w:tcW w:w="2839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46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6" w:leftChars="-51" w:right="-107" w:rightChars="-51" w:hanging="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 w:right="-107" w:rightChars="-5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科研机构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 w:right="-107" w:rightChars="-5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社会公益组织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6" w:leftChars="-51" w:right="-107" w:rightChars="-51" w:hanging="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63" w:leftChars="-30" w:right="-134" w:rightChars="-64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1"/>
                <w:szCs w:val="21"/>
              </w:rPr>
              <w:t>其他</w:t>
            </w:r>
          </w:p>
        </w:tc>
        <w:tc>
          <w:tcPr>
            <w:tcW w:w="46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37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left="-107" w:leftChars="-51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left="-107" w:leftChars="-51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eastAsia" w:ascii="方正仿宋简体" w:hAnsi="黑体" w:eastAsia="方正仿宋简体" w:cs="Times New Roman"/>
                <w:b/>
                <w:spacing w:val="-8"/>
                <w:kern w:val="0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4.</w:t>
            </w:r>
            <w:r>
              <w:rPr>
                <w:rFonts w:hint="eastAsia" w:ascii="方正仿宋简体" w:hAnsi="黑体" w:eastAsia="方正仿宋简体" w:cs="Times New Roman"/>
                <w:b/>
                <w:spacing w:val="-8"/>
                <w:kern w:val="0"/>
                <w:sz w:val="21"/>
                <w:szCs w:val="21"/>
              </w:rPr>
              <w:t>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方正仿宋简体" w:hAnsi="楷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 w:cs="Times New Roman"/>
                <w:b/>
                <w:kern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 w:cs="Times New Roman"/>
                <w:b/>
                <w:kern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 w:cs="Times New Roman"/>
                <w:b/>
                <w:kern w:val="0"/>
                <w:sz w:val="21"/>
                <w:szCs w:val="21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 w:cs="Times New Roman"/>
                <w:b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479"/>
        <w:gridCol w:w="550"/>
        <w:gridCol w:w="605"/>
        <w:gridCol w:w="605"/>
        <w:gridCol w:w="605"/>
        <w:gridCol w:w="578"/>
        <w:gridCol w:w="605"/>
        <w:gridCol w:w="605"/>
        <w:gridCol w:w="605"/>
        <w:gridCol w:w="60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89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922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49" w:leftChars="-71" w:right="-170" w:rightChars="-8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320" w:lineRule="exact"/>
              <w:ind w:left="-149" w:leftChars="-71" w:right="-170" w:rightChars="-8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维持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43" w:leftChars="-21" w:right="-132" w:rightChars="-63" w:hanging="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2" w:leftChars="-39" w:right="-97" w:rightChars="-46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18" w:leftChars="-56" w:right="-118" w:rightChars="-56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spacing w:line="320" w:lineRule="exact"/>
              <w:ind w:left="-118" w:leftChars="-56" w:right="-118" w:rightChars="-56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审结</w:t>
            </w:r>
          </w:p>
        </w:tc>
        <w:tc>
          <w:tcPr>
            <w:tcW w:w="47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294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979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bookmarkStart w:id="9" w:name="_Hlk67039688"/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复议后起诉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5" w:leftChars="-50" w:right="-126" w:rightChars="-60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6" w:leftChars="-41" w:right="-88" w:rightChars="-42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6" w:leftChars="-60" w:right="-136" w:rightChars="-65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320" w:lineRule="exact"/>
              <w:ind w:left="-126" w:leftChars="-60" w:right="-136" w:rightChars="-65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结果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4" w:leftChars="-78" w:right="-153" w:rightChars="-73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spacing w:line="320" w:lineRule="exact"/>
              <w:ind w:left="-164" w:leftChars="-78" w:right="-153" w:rightChars="-73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审结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99" w:leftChars="-47" w:right="-78" w:rightChars="-37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36" w:leftChars="-65" w:right="-124" w:rightChars="-59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320" w:lineRule="exact"/>
              <w:ind w:left="-136" w:leftChars="-65" w:right="-124" w:rightChars="-59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纠正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73" w:leftChars="-83" w:right="-134" w:rightChars="-64" w:hanging="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320" w:lineRule="exact"/>
              <w:ind w:left="-173" w:leftChars="-83" w:right="-134" w:rightChars="-64" w:hanging="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结果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67" w:leftChars="-33" w:right="-105" w:rightChars="-50" w:hanging="2" w:hangingChars="1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Times New Roman"/>
                <w:b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default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年，虽然我们在政府信息公开和政务服务工作方面取得了一些进步，但与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上级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要求相比还存在一定差距，主要体现在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公开的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创新性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有待提高，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政务公开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人员培训较少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 xml:space="preserve">。下一步， 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我单位将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创新政府信息公开工作的方式方法，提高工作效能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，通过积极借鉴其他单位的成功经验，持续寻求新的措施和方法，不断提升工作水平。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加大对政府信息公开相关制度的学习力度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抓好教育培训，积极开展政府信息公开条例等制度的培训学习，增强财政工作人员的公开意识，提高信息公开、政策解读、政务舆情回应能力。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嘉祥县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财政局202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年没有收取信息处理费情况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；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嘉祥县财政局认真贯彻县政府印发的2023年嘉祥县政务公开重点工作，抓好相关任务落实，认真执行上级财政部门对政务信息公开工作的要求，及时与上级相关部门对接，掌握最新工作要点，切实做好财政信息公开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（三）2023年，我单位承办县人大建议2件、政协提案1件，办结率、满意率均为100%，，办理结果及总体办理情况在网站进行了公开。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75B6D-BB13-43C6-89CB-55CB2FEA25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03C2D5-7C2D-4AD8-83F9-26130BBEC27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E975C49-5EEC-4404-84D0-F588D5183B6E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9D79C85-A20B-4D8C-BED6-ADC580F62D5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BD90078-7DDD-46B2-8831-A0F8091A9E24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D9DD313F-7B3E-4ED8-944D-EAA2ACB458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2DC6946-5C4F-4D63-BEBC-46A0AC263FF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9C5FB"/>
    <w:multiLevelType w:val="singleLevel"/>
    <w:tmpl w:val="2259C5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TRiZjY3MGJjNDhkYzZmY2M1ZDgzYzMzYzBjNmUifQ=="/>
  </w:docVars>
  <w:rsids>
    <w:rsidRoot w:val="1C2C6C35"/>
    <w:rsid w:val="02012B4D"/>
    <w:rsid w:val="178C78DC"/>
    <w:rsid w:val="19357ACA"/>
    <w:rsid w:val="1C2C6C35"/>
    <w:rsid w:val="1DA5396A"/>
    <w:rsid w:val="1EAF611E"/>
    <w:rsid w:val="20CF5EBB"/>
    <w:rsid w:val="26D80CA2"/>
    <w:rsid w:val="29E07C1B"/>
    <w:rsid w:val="2AB56423"/>
    <w:rsid w:val="2D5B3AF4"/>
    <w:rsid w:val="2EC33750"/>
    <w:rsid w:val="3EAB487D"/>
    <w:rsid w:val="56404378"/>
    <w:rsid w:val="58EE5E69"/>
    <w:rsid w:val="5EFD23BA"/>
    <w:rsid w:val="60AA0313"/>
    <w:rsid w:val="64124205"/>
    <w:rsid w:val="6AB21F0D"/>
    <w:rsid w:val="74A05143"/>
    <w:rsid w:val="7D91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2023</a:t>
            </a:r>
            <a:r>
              <a:rPr altLang="en-US"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年主动公开信息情况示意图</a:t>
            </a:r>
            <a:endParaRPr lang="en-US" altLang="zh-CN"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[工作簿1]Sheet1!$A$23:$A$26</c:f>
              <c:strCache>
                <c:ptCount val="4"/>
                <c:pt idx="0">
                  <c:v>预算决算</c:v>
                </c:pt>
                <c:pt idx="1">
                  <c:v>行政事业性收费目录</c:v>
                </c:pt>
                <c:pt idx="2">
                  <c:v>政府采购</c:v>
                </c:pt>
                <c:pt idx="3">
                  <c:v>财政资金直达基层</c:v>
                </c:pt>
              </c:strCache>
            </c:strRef>
          </c:cat>
          <c:val>
            <c:numRef>
              <c:f>[工作簿1]Sheet1!$B$23:$B$26</c:f>
              <c:numCache>
                <c:formatCode>General</c:formatCode>
                <c:ptCount val="4"/>
                <c:pt idx="0">
                  <c:v>25</c:v>
                </c:pt>
                <c:pt idx="1">
                  <c:v>21</c:v>
                </c:pt>
                <c:pt idx="2">
                  <c:v>14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603645841"/>
        <c:axId val="762036984"/>
      </c:barChart>
      <c:catAx>
        <c:axId val="60364584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2036984"/>
        <c:crosses val="autoZero"/>
        <c:auto val="1"/>
        <c:lblAlgn val="ctr"/>
        <c:lblOffset val="100"/>
        <c:noMultiLvlLbl val="0"/>
      </c:catAx>
      <c:valAx>
        <c:axId val="762036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364584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2023</a:t>
            </a:r>
            <a:r>
              <a:rPr altLang="en-US"/>
              <a:t>年依申请公开信息答复情况示意图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677992845070526"/>
                  <c:y val="0.13267892390475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予以公开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31995111102944"/>
                  <c:y val="-0.085678941511557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部分公开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7705363614397"/>
                  <c:y val="-0.0036123878819502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无法提供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予以公开</c:v>
                </c:pt>
                <c:pt idx="1">
                  <c:v>部分公开</c:v>
                </c:pt>
                <c:pt idx="2">
                  <c:v>无法提供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【1】">
    <a:dk1>
      <a:srgbClr val="000000"/>
    </a:dk1>
    <a:lt1>
      <a:srgbClr val="FFFFFF"/>
    </a:lt1>
    <a:dk2>
      <a:srgbClr val="0C0E1F"/>
    </a:dk2>
    <a:lt2>
      <a:srgbClr val="FEFFFF"/>
    </a:lt2>
    <a:accent1>
      <a:srgbClr val="4F81FF"/>
    </a:accent1>
    <a:accent2>
      <a:srgbClr val="16CC8A"/>
    </a:accent2>
    <a:accent3>
      <a:srgbClr val="FFC619"/>
    </a:accent3>
    <a:accent4>
      <a:srgbClr val="FF8041"/>
    </a:accent4>
    <a:accent5>
      <a:srgbClr val="F95F5F"/>
    </a:accent5>
    <a:accent6>
      <a:srgbClr val="A15CFF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2024-01-09T07:19:00Z</dcterms:created>
  <dc:creator>橙光海角</dc:creator>
  <cp:lastModifiedBy>橙光海角</cp:lastModifiedBy>
  <dcterms:modified xsi:type="dcterms:W3CDTF">2024-03-01T09:24:23Z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7E616F95487F492499C4F909336AC6ED_13</vt:lpwstr>
  </property>
</Properties>
</file>