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嘉祥县综合行政执法局2022年政府信息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公开工作年度报告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本报告由嘉祥县综合行政执法局按照《中华人民共和国政府信息公开条例》（以下简称《条例》）和《中华人民共和国政府信息公开工作年度报告格式》（国办公开办函〔2021〕30号）要求编制。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本报告所列数据的统计期限自2022年1月1日起至2022年12月31日止。本报告电子版可在嘉祥县嘉祥县人民政府”网站（http://www.jiaxiang.gov.cn/）政府信息公开专栏查阅或下载。如对本报告有疑问，请与嘉祥县综合行政执法局联系（地址：兖兰路613号，联系电话：0537-6561800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（一）主动公开情况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综合行政执法局机关职能、机构设置、办公地址、办公时间、联系方式、负责人姓名等信息均已挂网公布，在政府网站共公开各类信息45条。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jc w:val="left"/>
        <w:textAlignment w:val="auto"/>
        <w:rPr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480" w:firstLineChars="200"/>
        <w:jc w:val="left"/>
        <w:textAlignment w:val="auto"/>
        <w:rPr>
          <w:color w:val="333333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-59055</wp:posOffset>
            </wp:positionV>
            <wp:extent cx="4162425" cy="218122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（二）依申请公开情况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全年共收到政府信息公开申请0件，办结0件。县综合行政执法局高度重视依申请信息公开工作，持续保持高度关注，积极回应群众关切，全面推动政府信息公开申请件办理质量提升。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（三）政府信息管理情况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在县委县政府的领导下，坚持政务公开标准化、规范化，持续加强政府信息资源使用管理及常态监测预警。按照政务公开工作标准，定期开展自查整改，确保政务公开工作阳光规范运行。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（四）政府信息公开平台建设情况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为进一步强化政务公开工作水平，我局建立健全常态化监管机制，明确专人专管，加强门户网站信息内容建设，确保网站内容发布的时效性、前瞻性、针对性、协调性。运用微信公众号等新媒体推进信息公开，提高了公开工作的丰富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（五）监督保障情况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政府信息公开工作，涉及面广，政策性强，要求各科室认真抓好落实，确保政府公开工作按期保质完成。认真落实领导责任制，实行谁主管谁负责的原则，切实把政府信息公开工作落到实处，在推进政府信息公开制度的过程中，要做到提高工作效率，方便群众办事，提高依法行政水平，严格依法管理，强化对行政权力运行的监督，有效遏制消极腐败现象，落实监督制度。严格遵循政府信息公开基本原则，政府信息公开工作要本着“公开是原则，不公开是例外；公开不涉密，涉密不公开”的信息公开要求，做到“依法公开，真实公正，注重实效，有利监督”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主动公开政府信息情况</w:t>
      </w:r>
    </w:p>
    <w:tbl>
      <w:tblPr>
        <w:tblStyle w:val="3"/>
        <w:tblW w:w="877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130"/>
        <w:gridCol w:w="222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8775" w:type="dxa"/>
            <w:gridSpan w:val="4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本年制发件数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本年废止件数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规章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行政规范性文件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8775" w:type="dxa"/>
            <w:gridSpan w:val="4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6345" w:type="dxa"/>
            <w:gridSpan w:val="3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行政许可</w:t>
            </w:r>
          </w:p>
        </w:tc>
        <w:tc>
          <w:tcPr>
            <w:tcW w:w="6345" w:type="dxa"/>
            <w:gridSpan w:val="3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8775" w:type="dxa"/>
            <w:gridSpan w:val="4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6345" w:type="dxa"/>
            <w:gridSpan w:val="3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行政处罚</w:t>
            </w:r>
          </w:p>
        </w:tc>
        <w:tc>
          <w:tcPr>
            <w:tcW w:w="6345" w:type="dxa"/>
            <w:gridSpan w:val="3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行政强制</w:t>
            </w:r>
          </w:p>
        </w:tc>
        <w:tc>
          <w:tcPr>
            <w:tcW w:w="6345" w:type="dxa"/>
            <w:gridSpan w:val="3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8775" w:type="dxa"/>
            <w:gridSpan w:val="4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6345" w:type="dxa"/>
            <w:gridSpan w:val="3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行政事业性收费</w:t>
            </w:r>
          </w:p>
        </w:tc>
        <w:tc>
          <w:tcPr>
            <w:tcW w:w="6345" w:type="dxa"/>
            <w:gridSpan w:val="3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三、收到和处理政府信息公开申请情况</w:t>
      </w:r>
    </w:p>
    <w:tbl>
      <w:tblPr>
        <w:tblStyle w:val="3"/>
        <w:tblW w:w="882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0"/>
        <w:gridCol w:w="1110"/>
        <w:gridCol w:w="2748"/>
        <w:gridCol w:w="774"/>
        <w:gridCol w:w="592"/>
        <w:gridCol w:w="578"/>
        <w:gridCol w:w="592"/>
        <w:gridCol w:w="564"/>
        <w:gridCol w:w="550"/>
        <w:gridCol w:w="5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59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2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自然人</w:t>
            </w:r>
          </w:p>
        </w:tc>
        <w:tc>
          <w:tcPr>
            <w:tcW w:w="29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法人或其他组织</w:t>
            </w:r>
          </w:p>
        </w:tc>
        <w:tc>
          <w:tcPr>
            <w:tcW w:w="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商业企业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科研机构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社会公益组织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法律服务机构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其他</w:t>
            </w:r>
          </w:p>
        </w:tc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三、本年度办理结果</w:t>
            </w:r>
          </w:p>
        </w:tc>
        <w:tc>
          <w:tcPr>
            <w:tcW w:w="3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（一）予以公开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（三）不予公开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1.属于国家秘密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2.其他法律行政法规禁止公开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3.危及“三安全一稳定”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4.保护第三方合法权益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5.属于三类内部事务信息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6.属于四类过程性信息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7.属于行政执法案卷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8.属于行政查询事项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（四）无法提供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1.本机关不掌握相关政府信息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2.没有现成信息需要另行制作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3.补正后申请内容仍不明确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（五）不予处理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1.信访举报投诉类申请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2.重复申请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3.要求提供公开出版物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4.无正当理由大量反复申请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（六）其他处理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3.其他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（七）总计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四、结转下年度继续办理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四、政府信息公开行政复议、行政诉讼情况</w:t>
      </w:r>
    </w:p>
    <w:tbl>
      <w:tblPr>
        <w:tblStyle w:val="3"/>
        <w:tblW w:w="88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592"/>
        <w:gridCol w:w="582"/>
        <w:gridCol w:w="572"/>
        <w:gridCol w:w="545"/>
        <w:gridCol w:w="612"/>
        <w:gridCol w:w="612"/>
        <w:gridCol w:w="612"/>
        <w:gridCol w:w="602"/>
        <w:gridCol w:w="545"/>
        <w:gridCol w:w="612"/>
        <w:gridCol w:w="612"/>
        <w:gridCol w:w="612"/>
        <w:gridCol w:w="552"/>
        <w:gridCol w:w="5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8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行政复议</w:t>
            </w:r>
          </w:p>
        </w:tc>
        <w:tc>
          <w:tcPr>
            <w:tcW w:w="592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结果维持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其他结果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尚未审结</w:t>
            </w:r>
          </w:p>
        </w:tc>
        <w:tc>
          <w:tcPr>
            <w:tcW w:w="4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总计</w:t>
            </w:r>
          </w:p>
        </w:tc>
        <w:tc>
          <w:tcPr>
            <w:tcW w:w="301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未经复议直接起诉</w:t>
            </w:r>
          </w:p>
        </w:tc>
        <w:tc>
          <w:tcPr>
            <w:tcW w:w="29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结果维持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结果纠正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其他结果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尚未审结</w:t>
            </w: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结果维持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结果纠正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其他结果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尚未审结</w:t>
            </w: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（一）存在的主要问题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2022年，县综合行政执法局进一步加强统筹谋划，信息公开工作取得了一定成绩，但与上级要求和群众利益诉求相比还存在一些距离，主要表现在：一是公开内容不够全面，政务公开内容的深度和广度还不够。二是公开渠道和载体还需进一步规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（二）改进措施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一是加强政务公开业务培训，及时传达上级文件精神，通过组织开展培训会等方式学习《政府信息公开条例》，切实提高各科室主动公开的积极性。二是着重深化信息公开内容，继续梳理提炼本单位工作进展、政务动态、领导活动等信息，深入挖掘业务类信息，尽可能以最大范围公布，并按规定及时录入发布在网上，提高信息公开的更新频率。三是进一步拓展覆盖面，充分利用新闻媒体，多形式地开展政务信息公开的宣传工作，及时宣传报道先进典型，使政务信息公开成为公众关注的重点、群众监督的焦点，形成推进政府信息公开的合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  <w:lang w:eastAsia="zh-CN"/>
        </w:rPr>
        <w:t>（一</w:t>
      </w:r>
      <w:bookmarkStart w:id="0" w:name="_GoBack"/>
      <w:bookmarkEnd w:id="0"/>
      <w:r>
        <w:rPr>
          <w:rFonts w:hint="eastAsia"/>
          <w:color w:val="333333"/>
          <w:sz w:val="32"/>
          <w:szCs w:val="32"/>
          <w:lang w:eastAsia="zh-CN"/>
        </w:rPr>
        <w:t>）</w:t>
      </w:r>
      <w:r>
        <w:rPr>
          <w:color w:val="333333"/>
          <w:sz w:val="32"/>
          <w:szCs w:val="32"/>
        </w:rPr>
        <w:t>依据《政府信息公开信息处理费管理办法》，嘉祥县综合行政执法局2022年本年度未收取政府信息公开信息处理费。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（二）落实上级年度政务公开工作要点情况。严格落实市、县政务公开工作要点，结合实际，进一步细化任务目标，落实职责分工，规范公开行为，不断提高政务公开工作水平。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（三）我局共公示人大代表建议办理结果2条和政协提案办理结果3条。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（四）利用城区户外大屏公开三小车辆禁行、烟花禁放、扫黑除恶等政府信息，不断拓宽传播渠道，提高政府信息的传播广度。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BE008"/>
    <w:multiLevelType w:val="singleLevel"/>
    <w:tmpl w:val="EEFBE0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ZTIyODI0YjA1ZjY1ZjQ5ZjM0YmU5ZmZjYzc4ZTEifQ=="/>
  </w:docVars>
  <w:rsids>
    <w:rsidRoot w:val="65EC0D37"/>
    <w:rsid w:val="1462585D"/>
    <w:rsid w:val="2BF65A70"/>
    <w:rsid w:val="4A7B712C"/>
    <w:rsid w:val="65E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2435</Words>
  <Characters>2517</Characters>
  <Lines>0</Lines>
  <Paragraphs>0</Paragraphs>
  <TotalTime>11</TotalTime>
  <ScaleCrop>false</ScaleCrop>
  <LinksUpToDate>false</LinksUpToDate>
  <CharactersWithSpaces>2520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2023-02-03T03:29:00Z</dcterms:created>
  <dc:creator>午后红茶</dc:creator>
  <cp:lastModifiedBy>午后红茶</cp:lastModifiedBy>
  <dcterms:modified xsi:type="dcterms:W3CDTF">2023-02-03T06:53:20Z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489655C049A749B4B13F179CA2988AD3</vt:lpwstr>
  </property>
</Properties>
</file>