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70" w:type="dxa"/>
        <w:tblInd w:w="0" w:type="dxa"/>
        <w:shd w:val="clear" w:color="auto" w:fill="auto"/>
        <w:tblLayout w:type="fixed"/>
        <w:tblCellMar>
          <w:top w:w="0" w:type="dxa"/>
          <w:left w:w="0" w:type="dxa"/>
          <w:bottom w:w="0" w:type="dxa"/>
          <w:right w:w="0" w:type="dxa"/>
        </w:tblCellMar>
      </w:tblPr>
      <w:tblGrid>
        <w:gridCol w:w="1176"/>
        <w:gridCol w:w="564"/>
        <w:gridCol w:w="4524"/>
        <w:gridCol w:w="1044"/>
        <w:gridCol w:w="549"/>
        <w:gridCol w:w="1813"/>
      </w:tblGrid>
      <w:tr>
        <w:tblPrEx>
          <w:tblCellMar>
            <w:top w:w="0" w:type="dxa"/>
            <w:left w:w="0" w:type="dxa"/>
            <w:bottom w:w="0" w:type="dxa"/>
            <w:right w:w="0" w:type="dxa"/>
          </w:tblCellMar>
        </w:tblPrEx>
        <w:trPr>
          <w:trHeight w:val="1154" w:hRule="atLeast"/>
        </w:trPr>
        <w:tc>
          <w:tcPr>
            <w:tcW w:w="967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40"/>
                <w:szCs w:val="40"/>
                <w:u w:val="none"/>
              </w:rPr>
            </w:pPr>
            <w:r>
              <w:rPr>
                <w:rFonts w:hint="eastAsia" w:ascii="黑体" w:hAnsi="宋体" w:eastAsia="黑体" w:cs="黑体"/>
                <w:b w:val="0"/>
                <w:bCs/>
                <w:i w:val="0"/>
                <w:color w:val="000000"/>
                <w:kern w:val="0"/>
                <w:sz w:val="40"/>
                <w:szCs w:val="40"/>
                <w:u w:val="none"/>
                <w:lang w:val="en-US" w:eastAsia="zh-CN" w:bidi="ar"/>
              </w:rPr>
              <w:drawing>
                <wp:anchor distT="0" distB="0" distL="114300" distR="114300" simplePos="0" relativeHeight="251658240" behindDoc="0" locked="0" layoutInCell="1" allowOverlap="1">
                  <wp:simplePos x="0" y="0"/>
                  <wp:positionH relativeFrom="column">
                    <wp:posOffset>5422900</wp:posOffset>
                  </wp:positionH>
                  <wp:positionV relativeFrom="paragraph">
                    <wp:posOffset>-11430</wp:posOffset>
                  </wp:positionV>
                  <wp:extent cx="720090" cy="720090"/>
                  <wp:effectExtent l="0" t="0" r="3810" b="3810"/>
                  <wp:wrapNone/>
                  <wp:docPr id="5" name="图片_3"/>
                  <wp:cNvGraphicFramePr/>
                  <a:graphic xmlns:a="http://schemas.openxmlformats.org/drawingml/2006/main">
                    <a:graphicData uri="http://schemas.openxmlformats.org/drawingml/2006/picture">
                      <pic:pic xmlns:pic="http://schemas.openxmlformats.org/drawingml/2006/picture">
                        <pic:nvPicPr>
                          <pic:cNvPr id="5" name="图片_3"/>
                          <pic:cNvPicPr/>
                        </pic:nvPicPr>
                        <pic:blipFill>
                          <a:blip r:embed="rId4"/>
                          <a:stretch>
                            <a:fillRect/>
                          </a:stretch>
                        </pic:blipFill>
                        <pic:spPr>
                          <a:xfrm>
                            <a:off x="0" y="0"/>
                            <a:ext cx="720090" cy="720090"/>
                          </a:xfrm>
                          <a:prstGeom prst="rect">
                            <a:avLst/>
                          </a:prstGeom>
                          <a:noFill/>
                          <a:ln>
                            <a:noFill/>
                          </a:ln>
                        </pic:spPr>
                      </pic:pic>
                    </a:graphicData>
                  </a:graphic>
                </wp:anchor>
              </w:drawing>
            </w:r>
            <w:r>
              <w:rPr>
                <w:rFonts w:hint="eastAsia" w:ascii="黑体" w:hAnsi="宋体" w:eastAsia="黑体" w:cs="黑体"/>
                <w:b w:val="0"/>
                <w:bCs/>
                <w:i w:val="0"/>
                <w:color w:val="000000"/>
                <w:kern w:val="0"/>
                <w:sz w:val="40"/>
                <w:szCs w:val="40"/>
                <w:u w:val="none"/>
                <w:lang w:val="en-US" w:eastAsia="zh-CN" w:bidi="ar"/>
              </w:rPr>
              <w:t>统计信息咨询服务指南</w:t>
            </w:r>
          </w:p>
        </w:tc>
      </w:tr>
      <w:tr>
        <w:tblPrEx>
          <w:tblCellMar>
            <w:top w:w="0" w:type="dxa"/>
            <w:left w:w="0" w:type="dxa"/>
            <w:bottom w:w="0" w:type="dxa"/>
            <w:right w:w="0" w:type="dxa"/>
          </w:tblCellMar>
        </w:tblPrEx>
        <w:trPr>
          <w:trHeight w:val="551"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事项类型</w:t>
            </w:r>
          </w:p>
        </w:tc>
        <w:tc>
          <w:tcPr>
            <w:tcW w:w="84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公共服务事项</w:t>
            </w:r>
          </w:p>
        </w:tc>
      </w:tr>
      <w:tr>
        <w:tblPrEx>
          <w:tblCellMar>
            <w:top w:w="0" w:type="dxa"/>
            <w:left w:w="0" w:type="dxa"/>
            <w:bottom w:w="0" w:type="dxa"/>
            <w:right w:w="0" w:type="dxa"/>
          </w:tblCellMar>
        </w:tblPrEx>
        <w:trPr>
          <w:trHeight w:val="551"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办理对象</w:t>
            </w:r>
          </w:p>
        </w:tc>
        <w:tc>
          <w:tcPr>
            <w:tcW w:w="84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自然人,企业法人,事业法人,社会组织法人,其他组织,非法人企业,行政机关</w:t>
            </w:r>
          </w:p>
        </w:tc>
      </w:tr>
      <w:tr>
        <w:tblPrEx>
          <w:tblCellMar>
            <w:top w:w="0" w:type="dxa"/>
            <w:left w:w="0" w:type="dxa"/>
            <w:bottom w:w="0" w:type="dxa"/>
            <w:right w:w="0" w:type="dxa"/>
          </w:tblCellMar>
        </w:tblPrEx>
        <w:trPr>
          <w:trHeight w:val="3259"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设定依据</w:t>
            </w:r>
          </w:p>
        </w:tc>
        <w:tc>
          <w:tcPr>
            <w:tcW w:w="84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统计法第二条：“统计的基本任务是对经济社会发展情况进行统计调查、统计分析，提供统计资料和统计咨询意见，实行统计监督。第二十六条：县级以上人民政府统计机构和有关部门统计调查取得的统计资料，除依法应当保密的外，应当及时公开，供社会公众查询。”2、《中华人民共和国政府信息公开条例》第二章公开的主题和范围第十三条“行政机关公开政府信息，采取主动公开和依申请公开的方式。”第四章依申请公开第二十七条“除行政机关主动公开的政府信息外，公民、法人或者其他组织可以向地方各级人民政府、对外以自己名义履行行政管理职能的县级以上人民政府部门（含本条例第十条第二款规定的派出机构、内设机构）申请获取相关政府信息。”第二十八条“本条例第二十七条规定的行政机关应当建立完善政府信息公开申请渠道，为申请人依法申请获取政府信息提供便利。”</w:t>
            </w:r>
          </w:p>
        </w:tc>
      </w:tr>
      <w:tr>
        <w:tblPrEx>
          <w:shd w:val="clear" w:color="auto" w:fill="auto"/>
          <w:tblCellMar>
            <w:top w:w="0" w:type="dxa"/>
            <w:left w:w="0" w:type="dxa"/>
            <w:bottom w:w="0" w:type="dxa"/>
            <w:right w:w="0" w:type="dxa"/>
          </w:tblCellMar>
        </w:tblPrEx>
        <w:trPr>
          <w:trHeight w:val="248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申报条件</w:t>
            </w:r>
          </w:p>
        </w:tc>
        <w:tc>
          <w:tcPr>
            <w:tcW w:w="84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《一）申请时具备相应的社会组织法人登记条件；</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（二）以开展慈善活动为宗旨，业务范围符合《慈善法》第三条的规定；申请时的上一年度慈善活动的年度支出和管理费用符合国务院民政部门关于慈善组织的规定；</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（三）不以营利为目的，收益和营运结余全部用于章程规定的慈善目的；财产及其孳息没有在发起人、捐赠人或者本组织成员中分配；章程中有关于剩余财产转给目的相同或者相近的其他慈善组织的规定；</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（四）有健全的财务制度和合理的薪酬制度；</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（五）法律、行政法规规定的其他条件。</w:t>
            </w:r>
          </w:p>
        </w:tc>
      </w:tr>
      <w:tr>
        <w:tblPrEx>
          <w:shd w:val="clear" w:color="auto" w:fill="auto"/>
          <w:tblCellMar>
            <w:top w:w="0" w:type="dxa"/>
            <w:left w:w="0" w:type="dxa"/>
            <w:bottom w:w="0" w:type="dxa"/>
            <w:right w:w="0" w:type="dxa"/>
          </w:tblCellMar>
        </w:tblPrEx>
        <w:trPr>
          <w:trHeight w:val="60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申报材料</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序号</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材</w:t>
            </w:r>
            <w:r>
              <w:rPr>
                <w:rFonts w:hint="eastAsia" w:asciiTheme="minorEastAsia" w:hAnsiTheme="minorEastAsia" w:cstheme="minorEastAsia"/>
                <w:i w:val="0"/>
                <w:color w:val="000000"/>
                <w:kern w:val="0"/>
                <w:sz w:val="22"/>
                <w:szCs w:val="22"/>
                <w:u w:val="none"/>
                <w:lang w:val="en-US" w:eastAsia="zh-CN" w:bidi="ar"/>
              </w:rPr>
              <w:t xml:space="preserve">   </w:t>
            </w:r>
            <w:r>
              <w:rPr>
                <w:rFonts w:hint="eastAsia" w:asciiTheme="minorEastAsia" w:hAnsiTheme="minorEastAsia" w:eastAsiaTheme="minorEastAsia" w:cstheme="minorEastAsia"/>
                <w:i w:val="0"/>
                <w:color w:val="000000"/>
                <w:kern w:val="0"/>
                <w:sz w:val="22"/>
                <w:szCs w:val="22"/>
                <w:u w:val="none"/>
                <w:lang w:val="en-US" w:eastAsia="zh-CN" w:bidi="ar"/>
              </w:rPr>
              <w:t>料</w:t>
            </w:r>
            <w:r>
              <w:rPr>
                <w:rFonts w:hint="eastAsia" w:asciiTheme="minorEastAsia" w:hAnsiTheme="minorEastAsia" w:cstheme="minorEastAsia"/>
                <w:i w:val="0"/>
                <w:color w:val="000000"/>
                <w:kern w:val="0"/>
                <w:sz w:val="22"/>
                <w:szCs w:val="22"/>
                <w:u w:val="none"/>
                <w:lang w:val="en-US" w:eastAsia="zh-CN" w:bidi="ar"/>
              </w:rPr>
              <w:t xml:space="preserve">   </w:t>
            </w:r>
            <w:r>
              <w:rPr>
                <w:rFonts w:hint="eastAsia" w:asciiTheme="minorEastAsia" w:hAnsiTheme="minorEastAsia" w:eastAsiaTheme="minorEastAsia" w:cstheme="minorEastAsia"/>
                <w:i w:val="0"/>
                <w:color w:val="000000"/>
                <w:kern w:val="0"/>
                <w:sz w:val="22"/>
                <w:szCs w:val="22"/>
                <w:u w:val="none"/>
                <w:lang w:val="en-US" w:eastAsia="zh-CN" w:bidi="ar"/>
              </w:rPr>
              <w:t>名</w:t>
            </w:r>
            <w:r>
              <w:rPr>
                <w:rFonts w:hint="eastAsia" w:asciiTheme="minorEastAsia" w:hAnsiTheme="minorEastAsia" w:cstheme="minorEastAsia"/>
                <w:i w:val="0"/>
                <w:color w:val="000000"/>
                <w:kern w:val="0"/>
                <w:sz w:val="22"/>
                <w:szCs w:val="22"/>
                <w:u w:val="none"/>
                <w:lang w:val="en-US" w:eastAsia="zh-CN" w:bidi="ar"/>
              </w:rPr>
              <w:t xml:space="preserve">   </w:t>
            </w:r>
            <w:r>
              <w:rPr>
                <w:rFonts w:hint="eastAsia" w:asciiTheme="minorEastAsia" w:hAnsiTheme="minorEastAsia" w:eastAsiaTheme="minorEastAsia" w:cstheme="minorEastAsia"/>
                <w:i w:val="0"/>
                <w:color w:val="000000"/>
                <w:kern w:val="0"/>
                <w:sz w:val="22"/>
                <w:szCs w:val="22"/>
                <w:u w:val="none"/>
                <w:lang w:val="en-US" w:eastAsia="zh-CN" w:bidi="ar"/>
              </w:rPr>
              <w:t>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是否必须</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份数</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是否需要电子版</w:t>
            </w:r>
          </w:p>
        </w:tc>
      </w:tr>
      <w:tr>
        <w:tblPrEx>
          <w:shd w:val="clear" w:color="auto" w:fill="auto"/>
          <w:tblCellMar>
            <w:top w:w="0" w:type="dxa"/>
            <w:left w:w="0" w:type="dxa"/>
            <w:bottom w:w="0" w:type="dxa"/>
            <w:right w:w="0" w:type="dxa"/>
          </w:tblCellMar>
        </w:tblPrEx>
        <w:trPr>
          <w:trHeight w:val="518"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信息公开申请表</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是</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是</w:t>
            </w:r>
          </w:p>
        </w:tc>
      </w:tr>
      <w:tr>
        <w:tblPrEx>
          <w:tblCellMar>
            <w:top w:w="0" w:type="dxa"/>
            <w:left w:w="0" w:type="dxa"/>
            <w:bottom w:w="0" w:type="dxa"/>
            <w:right w:w="0" w:type="dxa"/>
          </w:tblCellMar>
        </w:tblPrEx>
        <w:trPr>
          <w:trHeight w:val="219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办理程序</w:t>
            </w:r>
          </w:p>
        </w:tc>
        <w:tc>
          <w:tcPr>
            <w:tcW w:w="84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1.申请接收、登记：接收通过邮寄信件或互联网渠道提交的申请，审查申请要素是否全面，并进行登记； </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 xml:space="preserve">2.办理依申请事项：县统计局相关专业科室对申请事项进行办理，并形成加盖市统计局公章的政府信息公开告知书； </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3.答复申请人：以政府信息公开答复书形式将答复结果反馈申请人，按申请人提供的获取答复的方式，将政府信息公开答复书邮寄或通过email发送给申请人。</w:t>
            </w:r>
            <w:bookmarkStart w:id="0" w:name="_GoBack"/>
            <w:bookmarkEnd w:id="0"/>
          </w:p>
        </w:tc>
      </w:tr>
      <w:tr>
        <w:tblPrEx>
          <w:shd w:val="clear" w:color="auto" w:fill="auto"/>
          <w:tblCellMar>
            <w:top w:w="0" w:type="dxa"/>
            <w:left w:w="0" w:type="dxa"/>
            <w:bottom w:w="0" w:type="dxa"/>
            <w:right w:w="0" w:type="dxa"/>
          </w:tblCellMar>
        </w:tblPrEx>
        <w:trPr>
          <w:trHeight w:val="36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法定期限</w:t>
            </w:r>
          </w:p>
        </w:tc>
        <w:tc>
          <w:tcPr>
            <w:tcW w:w="84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20个工作日 </w:t>
            </w:r>
          </w:p>
        </w:tc>
      </w:tr>
      <w:tr>
        <w:tblPrEx>
          <w:shd w:val="clear" w:color="auto" w:fill="auto"/>
          <w:tblCellMar>
            <w:top w:w="0" w:type="dxa"/>
            <w:left w:w="0" w:type="dxa"/>
            <w:bottom w:w="0" w:type="dxa"/>
            <w:right w:w="0" w:type="dxa"/>
          </w:tblCellMar>
        </w:tblPrEx>
        <w:trPr>
          <w:trHeight w:val="36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承诺时限</w:t>
            </w:r>
          </w:p>
        </w:tc>
        <w:tc>
          <w:tcPr>
            <w:tcW w:w="84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5个工作日</w:t>
            </w:r>
          </w:p>
        </w:tc>
      </w:tr>
      <w:tr>
        <w:tblPrEx>
          <w:shd w:val="clear" w:color="auto" w:fill="auto"/>
          <w:tblCellMar>
            <w:top w:w="0" w:type="dxa"/>
            <w:left w:w="0" w:type="dxa"/>
            <w:bottom w:w="0" w:type="dxa"/>
            <w:right w:w="0" w:type="dxa"/>
          </w:tblCellMar>
        </w:tblPrEx>
        <w:trPr>
          <w:trHeight w:val="36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收费标准</w:t>
            </w:r>
          </w:p>
        </w:tc>
        <w:tc>
          <w:tcPr>
            <w:tcW w:w="84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不收费</w:t>
            </w:r>
          </w:p>
        </w:tc>
      </w:tr>
      <w:tr>
        <w:tblPrEx>
          <w:shd w:val="clear" w:color="auto" w:fill="auto"/>
          <w:tblCellMar>
            <w:top w:w="0" w:type="dxa"/>
            <w:left w:w="0" w:type="dxa"/>
            <w:bottom w:w="0" w:type="dxa"/>
            <w:right w:w="0" w:type="dxa"/>
          </w:tblCellMar>
        </w:tblPrEx>
        <w:trPr>
          <w:trHeight w:val="36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收费依据</w:t>
            </w:r>
          </w:p>
        </w:tc>
        <w:tc>
          <w:tcPr>
            <w:tcW w:w="84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无</w:t>
            </w:r>
          </w:p>
        </w:tc>
      </w:tr>
      <w:tr>
        <w:tblPrEx>
          <w:shd w:val="clear" w:color="auto" w:fill="auto"/>
          <w:tblCellMar>
            <w:top w:w="0" w:type="dxa"/>
            <w:left w:w="0" w:type="dxa"/>
            <w:bottom w:w="0" w:type="dxa"/>
            <w:right w:w="0" w:type="dxa"/>
          </w:tblCellMar>
        </w:tblPrEx>
        <w:trPr>
          <w:trHeight w:val="437"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咨询电话</w:t>
            </w:r>
          </w:p>
        </w:tc>
        <w:tc>
          <w:tcPr>
            <w:tcW w:w="50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0537-6987601</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投诉电话 </w:t>
            </w: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12345/0537-6558808</w:t>
            </w:r>
          </w:p>
        </w:tc>
      </w:tr>
      <w:tr>
        <w:tblPrEx>
          <w:shd w:val="clear" w:color="auto" w:fill="auto"/>
          <w:tblCellMar>
            <w:top w:w="0" w:type="dxa"/>
            <w:left w:w="0" w:type="dxa"/>
            <w:bottom w:w="0" w:type="dxa"/>
            <w:right w:w="0" w:type="dxa"/>
          </w:tblCellMar>
        </w:tblPrEx>
        <w:trPr>
          <w:trHeight w:val="36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评价渠道</w:t>
            </w:r>
          </w:p>
        </w:tc>
        <w:tc>
          <w:tcPr>
            <w:tcW w:w="84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现场评价、山东政务服务网评价</w:t>
            </w:r>
          </w:p>
        </w:tc>
      </w:tr>
      <w:tr>
        <w:tblPrEx>
          <w:shd w:val="clear" w:color="auto" w:fill="auto"/>
          <w:tblCellMar>
            <w:top w:w="0" w:type="dxa"/>
            <w:left w:w="0" w:type="dxa"/>
            <w:bottom w:w="0" w:type="dxa"/>
            <w:right w:w="0" w:type="dxa"/>
          </w:tblCellMar>
        </w:tblPrEx>
        <w:trPr>
          <w:trHeight w:val="36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救济渠道</w:t>
            </w:r>
          </w:p>
        </w:tc>
        <w:tc>
          <w:tcPr>
            <w:tcW w:w="84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向嘉祥县司法局行政复议应诉科提起行政复议，向嘉祥县人民法院提起行政诉讼</w:t>
            </w:r>
          </w:p>
        </w:tc>
      </w:tr>
      <w:tr>
        <w:tblPrEx>
          <w:shd w:val="clear" w:color="auto" w:fill="auto"/>
          <w:tblCellMar>
            <w:top w:w="0" w:type="dxa"/>
            <w:left w:w="0" w:type="dxa"/>
            <w:bottom w:w="0" w:type="dxa"/>
            <w:right w:w="0" w:type="dxa"/>
          </w:tblCellMar>
        </w:tblPrEx>
        <w:trPr>
          <w:trHeight w:val="36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受理地址</w:t>
            </w:r>
          </w:p>
        </w:tc>
        <w:tc>
          <w:tcPr>
            <w:tcW w:w="849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嘉祥县呈祥街3号嘉祥为民服务中心东辅楼二楼社会事务区H222综合窗口</w:t>
            </w:r>
          </w:p>
        </w:tc>
      </w:tr>
    </w:tbl>
    <w:p/>
    <w:sectPr>
      <w:pgSz w:w="11906" w:h="16838"/>
      <w:pgMar w:top="873" w:right="1117" w:bottom="873" w:left="11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124F1"/>
    <w:rsid w:val="049124F1"/>
    <w:rsid w:val="14606ED1"/>
    <w:rsid w:val="1DA51B9B"/>
    <w:rsid w:val="1EC15E2F"/>
    <w:rsid w:val="244B5910"/>
    <w:rsid w:val="39B910F9"/>
    <w:rsid w:val="3BCB2723"/>
    <w:rsid w:val="56577599"/>
    <w:rsid w:val="66760EE1"/>
    <w:rsid w:val="69C31709"/>
    <w:rsid w:val="6C607C92"/>
    <w:rsid w:val="6F874C0E"/>
    <w:rsid w:val="7FC57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仿宋" w:hAnsi="仿宋" w:eastAsia="仿宋" w:cs="仿宋"/>
      <w:b/>
      <w:color w:val="000000"/>
      <w:sz w:val="16"/>
      <w:szCs w:val="16"/>
      <w:u w:val="none"/>
    </w:rPr>
  </w:style>
  <w:style w:type="character" w:customStyle="1" w:styleId="5">
    <w:name w:val="font71"/>
    <w:basedOn w:val="3"/>
    <w:qFormat/>
    <w:uiPriority w:val="0"/>
    <w:rPr>
      <w:rFonts w:hint="eastAsia" w:ascii="仿宋" w:hAnsi="仿宋" w:eastAsia="仿宋" w:cs="仿宋"/>
      <w:b/>
      <w:color w:val="000000"/>
      <w:sz w:val="18"/>
      <w:szCs w:val="18"/>
      <w:u w:val="none"/>
    </w:rPr>
  </w:style>
  <w:style w:type="character" w:customStyle="1" w:styleId="6">
    <w:name w:val="font11"/>
    <w:basedOn w:val="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2020-07-03T02:44:00Z</dcterms:created>
  <dc:creator>精诚</dc:creator>
  <cp:lastModifiedBy>帅帅是帅哥</cp:lastModifiedBy>
  <cp:lastPrinted>2020-07-03T02:48:00Z</cp:lastPrinted>
  <dcterms:modified xsi:type="dcterms:W3CDTF">2020-10-23T07:02:59Z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