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both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祥县发展和改革局</w:t>
      </w:r>
      <w:r>
        <w:rPr>
          <w:rFonts w:hint="eastAsia" w:ascii="方正小标宋简体" w:eastAsia="方正小标宋简体"/>
          <w:b/>
          <w:sz w:val="44"/>
          <w:szCs w:val="44"/>
        </w:rPr>
        <w:t>2021年政府信息公开</w:t>
      </w:r>
    </w:p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情况统计表</w:t>
      </w:r>
    </w:p>
    <w:tbl>
      <w:tblPr>
        <w:tblStyle w:val="3"/>
        <w:tblW w:w="8696" w:type="dxa"/>
        <w:jc w:val="center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7"/>
        <w:gridCol w:w="904"/>
        <w:gridCol w:w="82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tblHeader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ind w:firstLine="685"/>
              <w:jc w:val="center"/>
              <w:rPr>
                <w:rFonts w:ascii="方正黑体简体" w:eastAsia="方正黑体简体"/>
                <w:b/>
                <w:color w:val="000000"/>
              </w:rPr>
            </w:pPr>
            <w:r>
              <w:rPr>
                <w:rStyle w:val="5"/>
                <w:rFonts w:hint="eastAsia" w:ascii="方正黑体简体" w:hAnsi="Times New Roman" w:eastAsia="方正黑体简体" w:cs="Times New Roman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Style w:val="5"/>
                <w:rFonts w:hint="eastAsia" w:ascii="方正黑体简体" w:eastAsia="方正黑体简体"/>
                <w:color w:val="000000"/>
              </w:rPr>
              <w:t>单位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Style w:val="5"/>
                <w:rFonts w:hint="eastAsia" w:ascii="方正黑体简体" w:eastAsia="方正黑体简体"/>
                <w:color w:val="000000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黑体简体" w:hAnsi="宋体" w:eastAsia="方正黑体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一、主动公开情况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（一）主动公开政府信息数（不同渠道和方式公开相同信息计1条）</w:t>
            </w:r>
            <w:r>
              <w:rPr>
                <w:rFonts w:hint="eastAsia" w:ascii="方正仿宋简体" w:hAnsi="宋体" w:eastAsia="方正仿宋简体"/>
                <w:b/>
                <w:color w:val="000000"/>
              </w:rPr>
              <w:br w:type="textWrapping"/>
            </w: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（不同渠道和方式公开相同信息计1条）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其中：主动公开规范性文件数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　　　制发规范性文件总数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件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（二）通过不同渠道和方式公开政府信息的情况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1.政府公报公开政府信息数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2.政府网站公开政府信息数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3.政务微博公开政府信息数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4.政务微信公开政府信息数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5.其他方式公开政府信息数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二、回应解读情况（不同方式回应同一热点或舆情计1次）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ind w:firstLine="685"/>
              <w:jc w:val="center"/>
              <w:rPr>
                <w:rFonts w:ascii="方正仿宋简体" w:eastAsia="方正仿宋简体"/>
                <w:b/>
                <w:color w:val="000000"/>
              </w:rPr>
            </w:pPr>
          </w:p>
        </w:tc>
        <w:tc>
          <w:tcPr>
            <w:tcW w:w="82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spacing w:before="0" w:beforeAutospacing="0" w:after="0" w:afterAutospacing="0" w:line="240" w:lineRule="exact"/>
              <w:ind w:firstLine="402" w:firstLineChars="200"/>
              <w:rPr>
                <w:rFonts w:ascii="方正仿宋简体" w:eastAsia="方正仿宋简体"/>
                <w:b/>
                <w:color w:val="000000"/>
              </w:rPr>
            </w:pP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0"/>
                <w:szCs w:val="20"/>
              </w:rPr>
              <w:br w:type="textWrapping"/>
            </w:r>
            <w:r>
              <w:rPr>
                <w:rFonts w:hint="eastAsia" w:ascii="方正仿宋简体" w:eastAsia="方正仿宋简体" w:cs="Times New Roman"/>
                <w:b/>
                <w:color w:val="000000"/>
                <w:kern w:val="2"/>
                <w:sz w:val="20"/>
                <w:szCs w:val="20"/>
              </w:rPr>
              <w:t>　　　　 （不同方式回应同一热点或舆情计1次）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（二）通过不同渠道和方式回应解读的情况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1.参加或举办新闻发布会总次数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 其中：主要负责同志参加新闻发布会次数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2.政府网站在线访谈次数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　 其中：主要负责同志参加政府网站在线访谈次数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3.政策解读稿件发布数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篇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4.微博微信回应事件数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5.其他方式回应事件数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三、开通政府信息公开网站（或设立门户网站信息公开专栏）数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（一）市政府部门门户网站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（二）县（市、区）政府及其部门门户网站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（三）乡镇政府（街道办事处）门户网站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黑体简体" w:hAnsi="宋体" w:eastAsia="方正黑体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四、设置政府信息查阅点数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（一）市政府部门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（二）县（市、区）政府及其部门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（三）乡镇政府（街道办事处）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五、查阅点接待人数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（一）市政府及其部门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（二）县（市、区）政府及其部门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02" w:firstLineChars="200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（三）乡镇政府（街道办事处）</w:t>
            </w:r>
          </w:p>
        </w:tc>
        <w:tc>
          <w:tcPr>
            <w:tcW w:w="904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/>
                <w:b/>
                <w:color w:val="000000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六、机构建设和保障经费情况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（一）政府信息公开工作专门机构数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（二）从事政府信息公开工作人员数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1.专职人员数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　　　2.兼职人员数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（三）政府信息公开专项经费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万元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黑体简体" w:hAnsi="宋体" w:eastAsia="方正黑体简体"/>
                <w:b/>
                <w:color w:val="000000"/>
              </w:rPr>
              <w:t>七、政府信息公开会议和培训情况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/>
                <w:b/>
                <w:color w:val="00000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（一）召开政府信息公开工作会议或专题会议数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（二）举办各类培训班数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6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　　（三）接受培训人员数</w:t>
            </w:r>
          </w:p>
        </w:tc>
        <w:tc>
          <w:tcPr>
            <w:tcW w:w="9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宋体" w:eastAsia="方正仿宋简体" w:cs="宋体"/>
                <w:b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</w:rPr>
              <w:t>人次</w:t>
            </w:r>
          </w:p>
        </w:tc>
        <w:tc>
          <w:tcPr>
            <w:tcW w:w="8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b/>
                <w:color w:val="000000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/>
        <w:rPr>
          <w:rFonts w:ascii="方正仿宋简体" w:eastAsia="方正仿宋简体"/>
          <w:b/>
          <w:sz w:val="24"/>
          <w:szCs w:val="24"/>
        </w:rPr>
      </w:pPr>
      <w:r>
        <w:rPr>
          <w:rFonts w:hint="eastAsia" w:ascii="方正仿宋简体" w:eastAsia="方正仿宋简体"/>
          <w:b/>
          <w:sz w:val="24"/>
          <w:szCs w:val="24"/>
        </w:rPr>
        <w:t>（注：各子栏目数总数要等于总栏目数量）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8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2022-01-30T03:50:19Z</dcterms:created>
  <dc:creator>lenovo1</dc:creator>
  <cp:lastModifiedBy>NTKO</cp:lastModifiedBy>
  <dcterms:modified xsi:type="dcterms:W3CDTF">2022-01-30T03:51:22Z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08B54382686F474DB794CC80523493EF</vt:lpwstr>
  </property>
</Properties>
</file>