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10380">
      <w:pPr>
        <w:spacing w:line="590" w:lineRule="exact"/>
        <w:ind w:right="-105" w:rightChars="-50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</w:pPr>
    </w:p>
    <w:p w14:paraId="0FD4D3BF">
      <w:pPr>
        <w:spacing w:line="590" w:lineRule="exact"/>
        <w:ind w:right="-105" w:rightChars="-50"/>
        <w:jc w:val="center"/>
        <w:rPr>
          <w:rFonts w:hint="default" w:ascii="Times New Roman" w:hAnsi="Times New Roman" w:eastAsia="方正小标宋简体" w:cs="Times New Roman"/>
          <w:b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color w:val="auto"/>
          <w:kern w:val="0"/>
          <w:sz w:val="44"/>
          <w:szCs w:val="44"/>
          <w:lang w:val="en-US" w:eastAsia="zh-CN"/>
        </w:rPr>
        <w:t>嘉祥县商务局</w:t>
      </w:r>
      <w:r>
        <w:rPr>
          <w:rFonts w:hint="default" w:ascii="Times New Roman" w:hAnsi="Times New Roman" w:eastAsia="方正小标宋简体" w:cs="Times New Roman"/>
          <w:b/>
          <w:color w:val="auto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/>
          <w:color w:val="auto"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/>
          <w:color w:val="auto"/>
          <w:kern w:val="0"/>
          <w:sz w:val="44"/>
          <w:szCs w:val="44"/>
        </w:rPr>
        <w:t>年政府信息公开</w:t>
      </w:r>
    </w:p>
    <w:p w14:paraId="6A6DF89F">
      <w:pPr>
        <w:spacing w:line="590" w:lineRule="exact"/>
        <w:ind w:right="-105" w:rightChars="-50"/>
        <w:jc w:val="center"/>
        <w:rPr>
          <w:rFonts w:hint="default" w:ascii="Times New Roman" w:hAnsi="Times New Roman" w:eastAsia="方正小标宋简体" w:cs="Times New Roman"/>
          <w:b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color w:val="auto"/>
          <w:kern w:val="0"/>
          <w:sz w:val="44"/>
          <w:szCs w:val="44"/>
        </w:rPr>
        <w:t>工作年度报告</w:t>
      </w:r>
    </w:p>
    <w:p w14:paraId="1AAF3E39"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</w:pPr>
    </w:p>
    <w:p w14:paraId="491222E0"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本报告由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嘉祥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县商务局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 w14:paraId="766728DF"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14:paraId="0AD27587">
      <w:pPr>
        <w:spacing w:line="590" w:lineRule="exact"/>
        <w:ind w:right="-105" w:rightChars="-50" w:firstLine="643" w:firstLineChars="200"/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本报告所列数据的统计期限自202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年1月1日起至202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年12月31日止。本报告电子版可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在“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嘉祥县人民政府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网站（http://www.jiaxiang.gov.cn/）政府信息公开专栏查阅或下载。如对本报告有任何疑问，请与嘉祥县商务局联系（地址：嘉祥县呈祥大道3号嘉祥县为民服务中心12楼1205办公室，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联系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电话：0537-6987205）。</w:t>
      </w:r>
    </w:p>
    <w:p w14:paraId="5B381A9A"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黑体简体" w:cs="Times New Roman"/>
          <w:b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color w:val="auto"/>
          <w:kern w:val="0"/>
          <w:sz w:val="32"/>
          <w:szCs w:val="32"/>
        </w:rPr>
        <w:t>一、总体情况</w:t>
      </w:r>
    </w:p>
    <w:p w14:paraId="2C2D782C"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嘉祥县商务局坚持以习近平新时代中国特色社会主义思想为指导，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深入学习贯彻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党的二十大</w:t>
      </w:r>
      <w:r>
        <w:rPr>
          <w:rFonts w:hint="eastAsia" w:eastAsia="方正仿宋简体" w:cs="Times New Roman"/>
          <w:b/>
          <w:bCs/>
          <w:color w:val="auto"/>
          <w:sz w:val="32"/>
          <w:szCs w:val="32"/>
          <w:lang w:val="en-US" w:eastAsia="zh-CN"/>
        </w:rPr>
        <w:t>及二十届二中、三中全会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精神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，严格按照《中华人民共和国政府信息公开条例》要求及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县委、县政府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有关决策部署，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紧紧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围绕商务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工作中心任务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，聚焦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群众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关切，全面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助推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政务公开工作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高质量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eastAsia="zh-CN"/>
        </w:rPr>
        <w:t>发展。</w:t>
      </w:r>
    </w:p>
    <w:p w14:paraId="1D7F4649"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楷体简体" w:cs="Times New Roman"/>
          <w:b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color w:val="auto"/>
          <w:kern w:val="0"/>
          <w:sz w:val="32"/>
          <w:szCs w:val="32"/>
        </w:rPr>
        <w:t>（一）主动公开情况</w:t>
      </w:r>
    </w:p>
    <w:p w14:paraId="2D4849F3"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年，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嘉祥县商务局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进一步提高思想认识，强化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公开制度落实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，细化公开要求，创新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公开方式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，推进信息公开工作深入开展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全年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通过嘉祥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政府网站发布各类信息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149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条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其中政策文件类75条、最新动态类45条、通知公告类7条、其他类28条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。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围绕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消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  <w:t>费品以旧换新、跨境电商新业态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highlight w:val="none"/>
        </w:rPr>
        <w:t>等召开新闻发布会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次。</w:t>
      </w:r>
    </w:p>
    <w:p w14:paraId="0E8E5D36"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楷体简体" w:cs="Times New Roman"/>
          <w:b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574040</wp:posOffset>
            </wp:positionH>
            <wp:positionV relativeFrom="page">
              <wp:posOffset>3966845</wp:posOffset>
            </wp:positionV>
            <wp:extent cx="4201795" cy="2968625"/>
            <wp:effectExtent l="4445" t="4445" r="22860" b="17780"/>
            <wp:wrapTopAndBottom/>
            <wp:docPr id="2" name="图表 2" descr="7b0a202020202263686172745265734964223a202234363639383833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rPr>
          <w:rFonts w:hint="default" w:ascii="Times New Roman" w:hAnsi="Times New Roman" w:eastAsia="方正楷体简体" w:cs="Times New Roman"/>
          <w:b/>
          <w:color w:val="auto"/>
          <w:kern w:val="0"/>
          <w:sz w:val="32"/>
          <w:szCs w:val="32"/>
        </w:rPr>
        <w:t>（二）依申请公开情况</w:t>
      </w:r>
    </w:p>
    <w:p w14:paraId="03D10B78">
      <w:pPr>
        <w:spacing w:line="590" w:lineRule="exact"/>
        <w:ind w:right="-105" w:rightChars="-50" w:firstLine="643" w:firstLineChars="200"/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全年收到申请信息公开1件，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已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严格按照相关程序办理回复。</w:t>
      </w:r>
    </w:p>
    <w:p w14:paraId="48F1C868"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楷体简体" w:cs="Times New Roman"/>
          <w:b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color w:val="auto"/>
          <w:kern w:val="0"/>
          <w:sz w:val="32"/>
          <w:szCs w:val="32"/>
        </w:rPr>
        <w:t>（三）政府信息管理情况</w:t>
      </w:r>
    </w:p>
    <w:p w14:paraId="7BE4D838">
      <w:pPr>
        <w:spacing w:line="590" w:lineRule="exact"/>
        <w:ind w:right="-105" w:rightChars="-50" w:firstLine="643" w:firstLineChars="200"/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  <w:t>严格遵循有关信息公开的法律法规和规章要求，结合商务工作实际，制定《2024年嘉祥县商务局主动公开基本目录》，明确公开的内容、主体、方式、时限和对象等要素，确保信息公开工作规范、透明。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  <w:t>将保密审查工作融入信息公开全流程、全过程，确保国家秘密、商业秘密和个人隐私得到有效保护，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  <w:t>不断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  <w:t>提升政府公信力和公众信任度。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  <w:t>同时，严格规范公开栏目信息更新周期，及时清理过期或失效信息，持续提升信息公开的质量和效果。</w:t>
      </w:r>
    </w:p>
    <w:p w14:paraId="352AE7C6">
      <w:pPr>
        <w:spacing w:line="590" w:lineRule="exact"/>
        <w:ind w:right="-105" w:rightChars="-50" w:firstLine="643" w:firstLineChars="200"/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color w:val="auto"/>
          <w:kern w:val="0"/>
          <w:sz w:val="32"/>
          <w:szCs w:val="32"/>
        </w:rPr>
        <w:t>（四）政府信息公开平台建设情况</w:t>
      </w:r>
    </w:p>
    <w:p w14:paraId="3834B3F9"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以嘉祥县人民政府网站设立的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政府信息公开专栏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作为主要信息公开渠道，及时维护更新通知公告、财政预算决算、营商环境专区和其他法定信息等栏目，进一步提高政府工作透明度，切实维护好实现好群众对政府工作的知情权、参与权和监督权。</w:t>
      </w:r>
      <w:bookmarkStart w:id="0" w:name="_GoBack"/>
      <w:bookmarkEnd w:id="0"/>
    </w:p>
    <w:p w14:paraId="32C2E909">
      <w:pPr>
        <w:spacing w:line="590" w:lineRule="exact"/>
        <w:ind w:right="-105" w:rightChars="-50" w:firstLine="643" w:firstLineChars="200"/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color w:val="auto"/>
          <w:kern w:val="0"/>
          <w:sz w:val="32"/>
          <w:szCs w:val="32"/>
        </w:rPr>
        <w:t>（五）监督保障情况</w:t>
      </w:r>
    </w:p>
    <w:p w14:paraId="497E7864">
      <w:pPr>
        <w:spacing w:line="590" w:lineRule="exact"/>
        <w:ind w:right="-105" w:rightChars="-50" w:firstLine="643" w:firstLineChars="200"/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成立由局主要领导任组长的信息公开工作领导小组，确保各项工作实现专人专责、进度可控；定期组织信息公开自查工作，全面检视信息发布的准确性、完整性、及时性和合规性；建立健全信息公开的监督反馈机制，广泛听取社会公众及相关部门的意见与建议，不断提升信息公开工作质量。</w:t>
      </w:r>
    </w:p>
    <w:p w14:paraId="22438CEF"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黑体简体" w:cs="Times New Roman"/>
          <w:b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color w:val="auto"/>
          <w:kern w:val="0"/>
          <w:sz w:val="32"/>
          <w:szCs w:val="32"/>
        </w:rPr>
        <w:t>二、主动公开政府信息情况</w:t>
      </w:r>
    </w:p>
    <w:tbl>
      <w:tblPr>
        <w:tblStyle w:val="6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 w14:paraId="18A3B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455345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4"/>
                <w:szCs w:val="24"/>
                <w:lang w:bidi="ar"/>
              </w:rPr>
              <w:t>第二十条第（一）项</w:t>
            </w:r>
          </w:p>
        </w:tc>
      </w:tr>
      <w:tr w14:paraId="4146F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D711B88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ED3E7E7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E581100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E67B310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bidi="ar"/>
              </w:rPr>
              <w:t>现行有效件数</w:t>
            </w:r>
          </w:p>
        </w:tc>
      </w:tr>
      <w:tr w14:paraId="50961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17F76EF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4329418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6F1B251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50555EE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5A480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5511102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F914B2D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50B1C9D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DF03EBE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539D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ABAAF5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4"/>
                <w:szCs w:val="24"/>
                <w:lang w:bidi="ar"/>
              </w:rPr>
              <w:t>第二十条第（五）项</w:t>
            </w:r>
          </w:p>
        </w:tc>
      </w:tr>
      <w:tr w14:paraId="2827F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95D0CF6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2C61F94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 w14:paraId="52C8D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1EFF633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3002072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0EE06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B9FB304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4"/>
                <w:szCs w:val="24"/>
                <w:lang w:bidi="ar"/>
              </w:rPr>
              <w:t>第二十条第（六）项</w:t>
            </w:r>
          </w:p>
        </w:tc>
      </w:tr>
      <w:tr w14:paraId="71ADD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148D31C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532CF1B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 w14:paraId="426B9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89D3D96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67DDE73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1FA9B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A642245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616271A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13718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AAF2BF9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4"/>
                <w:szCs w:val="24"/>
                <w:lang w:bidi="ar"/>
              </w:rPr>
              <w:t>第二十条第（八）项</w:t>
            </w:r>
          </w:p>
        </w:tc>
      </w:tr>
      <w:tr w14:paraId="7B22D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8C8E096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0BC0153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bidi="ar"/>
              </w:rPr>
              <w:t>本年收费金额（单位：万元）</w:t>
            </w:r>
          </w:p>
        </w:tc>
      </w:tr>
      <w:tr w14:paraId="06A28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7F01F2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252B5E6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31F26FD1">
      <w:pPr>
        <w:spacing w:before="62" w:beforeLines="10" w:after="62" w:afterLines="10" w:line="600" w:lineRule="exact"/>
        <w:ind w:firstLine="643" w:firstLineChars="200"/>
        <w:rPr>
          <w:rFonts w:hint="default" w:ascii="Times New Roman" w:hAnsi="Times New Roman" w:eastAsia="方正黑体简体" w:cs="Times New Roman"/>
          <w:b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color w:val="auto"/>
          <w:kern w:val="0"/>
          <w:sz w:val="32"/>
          <w:szCs w:val="32"/>
        </w:rPr>
        <w:t>三、收到和处理政府信息公开申请情况</w:t>
      </w:r>
    </w:p>
    <w:tbl>
      <w:tblPr>
        <w:tblStyle w:val="6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 w14:paraId="4EDA1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 w14:paraId="6353D54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 w14:paraId="3634EF3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申请人情况</w:t>
            </w:r>
          </w:p>
        </w:tc>
      </w:tr>
      <w:tr w14:paraId="25C4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5E47698D"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4AC335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 w14:paraId="6CCC626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7A4AE7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 w14:paraId="2C351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7D02DDD9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BE27750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6126A07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商业</w:t>
            </w:r>
          </w:p>
          <w:p w14:paraId="77265AB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4BFDAAE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科研</w:t>
            </w:r>
          </w:p>
          <w:p w14:paraId="73FBEFA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1370DAE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22A57C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6189EB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874F7FC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</w:tr>
      <w:tr w14:paraId="57021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7BBE7710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30E3FA7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001D5FE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6829CCE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1FA6CFE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76DDBA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2E53E0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3F57BC0F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 w14:paraId="2C85E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670F77A7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14A583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46C6914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7E9CB34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65D81F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44B37D8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7483E95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14AF91B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8534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0A6EC59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219A4235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F0D23D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6353FA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6EBE45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44FBFD7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07C507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A84A75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3AF3499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4904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68A2CBF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5D445CF6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6A2FCE4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365428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4DF327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C74B65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677DFD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8B7487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26EB131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tr w14:paraId="7E24F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D400964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2A1E286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72B897EB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522A575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50CEA9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5A4EA3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2A4472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614868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A6AE7A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1B75947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7FFD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E9E09F5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0A0143B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610EE88C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2AEA449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6AFFCDA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3E6577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43B8727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68C88AE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1CF181D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6C8F81E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F628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14165D6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3D6C5FF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3147F262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343D487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6955BD6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929AE5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1627682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2209B1C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A11EE4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24316A1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900D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EA9F410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37AADCF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2CFBAE9D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4E73B2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69FFDFE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2E067B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698963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B39748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0C37994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2A5E827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7362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1D84F1E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11A46EE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2A339C76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1276EEA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E683B8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6413F49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7B23BD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F55B47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9BF9C0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2F0EB06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C128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F4B8D02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200BBE8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E9215F4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E133E5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492784D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4C5AD6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D75CBA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2B9CCEC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9F503C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2CA6C47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C782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C65CDC5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AA2DA17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41D9F8F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2BBD2D0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3A66B6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B85708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8B473D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7AB4DE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A27B90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8C69AE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D1D8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5827F3D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9EBE4A0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063185D5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619E87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E91880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015680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6B9286A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402318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0EE1EDE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73FF881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4E91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EAD3B84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D194237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B5C198F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0B5E8B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457DCB8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6E066EB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66506B6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A1C19D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0C15DEA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26BCF91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088B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AD04FC5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A81FC66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02C172E8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5489E2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6E8A1C8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6897A41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1A24533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69B6F8C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78EE8F7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39BCCEE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FD62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1BA0AF7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F9AF38C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4E34351C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1C03B4F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445A955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5AEC7A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05D6E5D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6A6D77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0B2C4EF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5CFCF5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B78A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ACBE6B4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666A40D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335F2402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65A1A34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5B32AE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4C6C874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049731E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6A1AB6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78D3BB8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021B1A1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E636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542CAEA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ED5F441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6776B46E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EDC45B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8FC474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B379EE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4D62DD4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DBA8ED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80F7DD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F4E745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8BD0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F06F293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06560DA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302211A9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18B3F3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621380C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2087EE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5428D3F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469518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19DEDAD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7BDBB24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EEAD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98E7A6A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7EB5D8E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862999C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6A0A01C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4AFE2F0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442323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EE92A8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12B75F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7C9B2C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69CB2E2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F6DB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09A36D0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28325BA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291D7ACC"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EFC294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7B99B4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904FF1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1FD88B8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4FE8F6C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632A86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6D53BAC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651E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E436893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B48F8A0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461B7C17"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21D8E1D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36631E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4AE5D3E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340DE0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290FD3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03072CE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65045D5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B9B6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90794D2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8FA5597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19C266D2"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EED3F9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892FC9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8AD3EE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667C3F2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4FEF6E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E2B808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6013989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01C3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C964001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2177C24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67AD0F9D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5FC89F4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04B6C24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363C7C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C1BAD9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F33542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10EEB2F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371616A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F3A7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DD8C329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78A9DB38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542697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7A49F4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068AAD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57A647F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6805937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6DFFB9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0EB7D259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 w14:paraId="0936F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62756DB4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AA4E55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62DF959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D98BA3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6ACB2D1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2AEBDB6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024E718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286E0532"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 w14:paraId="19673750">
      <w:pPr>
        <w:spacing w:line="590" w:lineRule="exact"/>
        <w:ind w:right="-105" w:rightChars="-50" w:firstLine="643" w:firstLineChars="200"/>
        <w:rPr>
          <w:rFonts w:hint="eastAsia" w:ascii="Times New Roman" w:hAnsi="Times New Roman" w:eastAsia="方正黑体简体" w:cs="Times New Roman"/>
          <w:b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/>
          <w:color w:val="auto"/>
          <w:kern w:val="0"/>
          <w:sz w:val="32"/>
          <w:szCs w:val="32"/>
        </w:rPr>
        <w:t>四、政府信息公开行政复议、行政诉讼情况</w:t>
      </w:r>
    </w:p>
    <w:tbl>
      <w:tblPr>
        <w:tblStyle w:val="6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 w14:paraId="5423CD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237A01C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7960E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行政诉讼</w:t>
            </w:r>
          </w:p>
        </w:tc>
      </w:tr>
      <w:tr w14:paraId="30545D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89661F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7C88F6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结果</w:t>
            </w:r>
          </w:p>
          <w:p w14:paraId="3ABF5243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2C4F31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BAD6C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89942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8DCE96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7F7261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复议后起诉</w:t>
            </w:r>
          </w:p>
        </w:tc>
      </w:tr>
      <w:tr w14:paraId="5C5988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94737F"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3EC3910"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A62025"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66BD80"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9FD1A0"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741F385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973E3E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B9655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010733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4091E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3FEFE0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9EA9A2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943A65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F171B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14040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 w14:paraId="26A83A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B503BF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74041E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3CF9C3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5B4C2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2B56BC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0E4E0C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7524D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6DD84E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A15D95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0D3E7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EE4F6C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AA5574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6AE6C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E602431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D9E1EE">
            <w:pPr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 w14:paraId="739D39A2"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黑体简体" w:cs="Times New Roman"/>
          <w:b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color w:val="auto"/>
          <w:kern w:val="0"/>
          <w:sz w:val="32"/>
          <w:szCs w:val="32"/>
        </w:rPr>
        <w:t>五、存在的主要问题及改进情况</w:t>
      </w:r>
    </w:p>
    <w:p w14:paraId="582D1DE9">
      <w:pPr>
        <w:spacing w:line="590" w:lineRule="exact"/>
        <w:ind w:right="-105" w:rightChars="-50" w:firstLine="643" w:firstLineChars="200"/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color w:val="auto"/>
          <w:kern w:val="0"/>
          <w:sz w:val="32"/>
          <w:szCs w:val="32"/>
          <w:lang w:val="en-US" w:eastAsia="zh-CN"/>
        </w:rPr>
        <w:t>（一）存在的问题：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信息更新不够及时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在部分动态信息的发布上，存在更新滞后的问题，未能在规定时限内完成信息更新，影响了公众及时知悉相关情况的权利。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公开渠道不够多样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目前信息公开主要依托于嘉祥县人民政府网站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渠道单一，缺乏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多元化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的信息传播途径，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一定程度上制约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了信息的传播覆盖面及影响力。</w:t>
      </w:r>
    </w:p>
    <w:p w14:paraId="463DEC80">
      <w:pPr>
        <w:spacing w:line="590" w:lineRule="exact"/>
        <w:ind w:right="-105" w:rightChars="-50" w:firstLine="643" w:firstLineChars="200"/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color w:val="auto"/>
          <w:kern w:val="0"/>
          <w:sz w:val="32"/>
          <w:szCs w:val="32"/>
          <w:lang w:val="en-US" w:eastAsia="zh-CN"/>
        </w:rPr>
        <w:t>（二）下步改进措施：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加强信息更新机制，确保及时发布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进一步完善信息更新管理机制，建立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相关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工作流程。确保信息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时效性和准确性，保障公众知情权。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拓宽信息公开渠道，提升公众覆盖面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多元化信息公开渠道，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充分利用主流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社交媒体平台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新闻发布会等多种形式，扩大信息传播的覆盖面，提升公众获取信息的便捷性。</w:t>
      </w:r>
    </w:p>
    <w:p w14:paraId="17B9C9D8"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黑体简体" w:cs="Times New Roman"/>
          <w:b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color w:val="auto"/>
          <w:kern w:val="0"/>
          <w:sz w:val="32"/>
          <w:szCs w:val="32"/>
        </w:rPr>
        <w:t>六、其他需要报告的事项</w:t>
      </w:r>
    </w:p>
    <w:p w14:paraId="0EFA933B"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（一）依据《政府信息公开信息处理费管理办法》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嘉祥县商务局202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年无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收取信息处理费的情况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eastAsia="zh-CN"/>
        </w:rPr>
        <w:t>。</w:t>
      </w:r>
    </w:p>
    <w:p w14:paraId="78DC2B0B">
      <w:pPr>
        <w:spacing w:line="590" w:lineRule="exact"/>
        <w:ind w:right="-105" w:rightChars="-50" w:firstLine="643" w:firstLineChars="200"/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（二）落实上级年度政务公开工作要点情况。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嘉祥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  <w:t>县商务局严格落实政务公开工作要点，持续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  <w:t>做好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  <w:t>优化营商环境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  <w:t>消费品以旧换新、安全生产工作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  <w:t>等行业相关政策的公开与解读，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  <w:t>努力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  <w:t>提升政务公开质量，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  <w:t>及时</w:t>
      </w: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  <w:t>回应公众关心关切问题</w:t>
      </w: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highlight w:val="none"/>
          <w:lang w:val="en-US" w:eastAsia="zh-CN"/>
        </w:rPr>
        <w:t>。</w:t>
      </w:r>
    </w:p>
    <w:p w14:paraId="2505D977">
      <w:pPr>
        <w:spacing w:line="590" w:lineRule="exact"/>
        <w:ind w:right="-105" w:rightChars="-50" w:firstLine="643" w:firstLineChars="200"/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  <w:t>（三）人大代表建议和政协提案办理结果公开情况：2024年，共收到人大建议1件、政协提案5件，办结率、满意率均为100%，办理结果均已在政府网站公开。</w:t>
      </w:r>
    </w:p>
    <w:p w14:paraId="3F1B22E6"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17A9A334-53CD-4350-A65C-BE2861E738B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64F0220-8E6D-40E8-9957-0544184E9A0C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124EC63-C5DC-4816-8F7E-7B8F590B0FD2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AD836AC-DFCD-409C-92D6-BB9EDF5200C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F15EF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9B3C5A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9B3C5A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iYWJmYjFiMDBmZTI0Yzc0OGE3MDc5N2FjNzNhNjQifQ=="/>
  </w:docVars>
  <w:rsids>
    <w:rsidRoot w:val="3B253589"/>
    <w:rsid w:val="00A06044"/>
    <w:rsid w:val="04754611"/>
    <w:rsid w:val="04893C18"/>
    <w:rsid w:val="05922FA0"/>
    <w:rsid w:val="05A0746B"/>
    <w:rsid w:val="05CC64B2"/>
    <w:rsid w:val="06103C8B"/>
    <w:rsid w:val="0721282E"/>
    <w:rsid w:val="079C3C62"/>
    <w:rsid w:val="087D5842"/>
    <w:rsid w:val="08DC3672"/>
    <w:rsid w:val="09344FF2"/>
    <w:rsid w:val="0A60541B"/>
    <w:rsid w:val="0AEE49C5"/>
    <w:rsid w:val="0CF12E49"/>
    <w:rsid w:val="0D044A7E"/>
    <w:rsid w:val="0E76345F"/>
    <w:rsid w:val="0EEB051B"/>
    <w:rsid w:val="0F225395"/>
    <w:rsid w:val="110A4333"/>
    <w:rsid w:val="11A976A8"/>
    <w:rsid w:val="14D417F8"/>
    <w:rsid w:val="151C682B"/>
    <w:rsid w:val="17831DAC"/>
    <w:rsid w:val="18B51028"/>
    <w:rsid w:val="1AEC6876"/>
    <w:rsid w:val="1B9C64CF"/>
    <w:rsid w:val="1BED2887"/>
    <w:rsid w:val="1C0B5154"/>
    <w:rsid w:val="1C712DCC"/>
    <w:rsid w:val="1DE008F5"/>
    <w:rsid w:val="1E546D62"/>
    <w:rsid w:val="1EB27D85"/>
    <w:rsid w:val="1EC12205"/>
    <w:rsid w:val="1FA256C8"/>
    <w:rsid w:val="1FC3227C"/>
    <w:rsid w:val="20196340"/>
    <w:rsid w:val="22C34341"/>
    <w:rsid w:val="23DD3661"/>
    <w:rsid w:val="250B1C22"/>
    <w:rsid w:val="26396CD4"/>
    <w:rsid w:val="269404CF"/>
    <w:rsid w:val="27934C2A"/>
    <w:rsid w:val="299C33C3"/>
    <w:rsid w:val="2BFF0AC1"/>
    <w:rsid w:val="2D630BFB"/>
    <w:rsid w:val="2E102281"/>
    <w:rsid w:val="2EC62A20"/>
    <w:rsid w:val="2FF62D3D"/>
    <w:rsid w:val="317909ED"/>
    <w:rsid w:val="32566F80"/>
    <w:rsid w:val="345179FF"/>
    <w:rsid w:val="36B060E9"/>
    <w:rsid w:val="389E51DD"/>
    <w:rsid w:val="3A00614F"/>
    <w:rsid w:val="3A2E433E"/>
    <w:rsid w:val="3AD969A0"/>
    <w:rsid w:val="3B253589"/>
    <w:rsid w:val="3B404329"/>
    <w:rsid w:val="3C4D6CFE"/>
    <w:rsid w:val="4171348E"/>
    <w:rsid w:val="41AA2DF7"/>
    <w:rsid w:val="44775260"/>
    <w:rsid w:val="45813EBC"/>
    <w:rsid w:val="495E50ED"/>
    <w:rsid w:val="49664FD0"/>
    <w:rsid w:val="498B70B7"/>
    <w:rsid w:val="4D0E072B"/>
    <w:rsid w:val="4DE4148C"/>
    <w:rsid w:val="51B51175"/>
    <w:rsid w:val="53D63625"/>
    <w:rsid w:val="53D83E8D"/>
    <w:rsid w:val="5527584B"/>
    <w:rsid w:val="57444427"/>
    <w:rsid w:val="590F7936"/>
    <w:rsid w:val="59B241EC"/>
    <w:rsid w:val="59FA62BF"/>
    <w:rsid w:val="5B962018"/>
    <w:rsid w:val="5BF41CE0"/>
    <w:rsid w:val="5CAA110F"/>
    <w:rsid w:val="5DAD53F7"/>
    <w:rsid w:val="5ED85D88"/>
    <w:rsid w:val="62847136"/>
    <w:rsid w:val="65B431E5"/>
    <w:rsid w:val="65E074E4"/>
    <w:rsid w:val="67B20F17"/>
    <w:rsid w:val="68EA538A"/>
    <w:rsid w:val="69D45E28"/>
    <w:rsid w:val="69FA6A22"/>
    <w:rsid w:val="6A971908"/>
    <w:rsid w:val="6BBA2DE4"/>
    <w:rsid w:val="6CAE2F39"/>
    <w:rsid w:val="6D205BE5"/>
    <w:rsid w:val="6EC46A44"/>
    <w:rsid w:val="724E6D50"/>
    <w:rsid w:val="7513602F"/>
    <w:rsid w:val="755D1A3C"/>
    <w:rsid w:val="75AF3FAA"/>
    <w:rsid w:val="76360227"/>
    <w:rsid w:val="766C59F7"/>
    <w:rsid w:val="77C655DB"/>
    <w:rsid w:val="781C51FB"/>
    <w:rsid w:val="794A5D98"/>
    <w:rsid w:val="7AAA042A"/>
    <w:rsid w:val="7B0C1557"/>
    <w:rsid w:val="7B542EFE"/>
    <w:rsid w:val="7BC65BA9"/>
    <w:rsid w:val="7CD04806"/>
    <w:rsid w:val="7D3E3BA8"/>
    <w:rsid w:val="7E490D14"/>
    <w:rsid w:val="7EA72453"/>
    <w:rsid w:val="7F182BC0"/>
    <w:rsid w:val="7FAD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charts/_rels/chart1.xml.rels><?xml version="1.0" encoding="UTF-8" standalone="yes"?>
<Relationships xmlns="http://schemas.openxmlformats.org/package/2006/relationships"><Relationship Id="rId8" Type="http://schemas.microsoft.com/office/2011/relationships/chartColorStyle" Target="colors1.xml"/><Relationship Id="rId7" Type="http://schemas.microsoft.com/office/2011/relationships/chartStyle" Target="style1.xml"/><Relationship Id="rId6" Type="http://schemas.openxmlformats.org/officeDocument/2006/relationships/image" Target="../media/image4.png"/><Relationship Id="rId5" Type="http://schemas.openxmlformats.org/officeDocument/2006/relationships/image" Target="../media/image3.png"/><Relationship Id="rId4" Type="http://schemas.openxmlformats.org/officeDocument/2006/relationships/image" Target="../media/image2.png"/><Relationship Id="rId3" Type="http://schemas.openxmlformats.org/officeDocument/2006/relationships/image" Target="../media/image1.png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  <a:r>
              <a:rPr b="1"/>
              <a:t>信息公开情况</a:t>
            </a:r>
            <a:endParaRPr b="1"/>
          </a:p>
        </c:rich>
      </c:tx>
      <c:layout>
        <c:manualLayout>
          <c:xMode val="edge"/>
          <c:yMode val="edge"/>
          <c:x val="0.365800211576243"/>
          <c:y val="0.0812834224598934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546119675986412"/>
          <c:y val="0.301928618931501"/>
          <c:w val="0.912725372354324"/>
          <c:h val="0.592861893150078"/>
        </c:manualLayout>
      </c:layout>
      <c:pieChart>
        <c:varyColors val="1"/>
        <c:ser>
          <c:idx val="0"/>
          <c:order val="0"/>
          <c:tx>
            <c:strRef>
              <c:f>Sheet1!$B$3</c:f>
              <c:strCache>
                <c:ptCount val="1"/>
                <c:pt idx="0">
                  <c:v>信息公开情况</c:v>
                </c:pt>
              </c:strCache>
            </c:strRef>
          </c:tx>
          <c:spPr>
            <a:blipFill rotWithShape="1">
              <a:blip xmlns:r="http://schemas.openxmlformats.org/officeDocument/2006/relationships" r:embed="rId3"/>
              <a:stretch>
                <a:fillRect/>
              </a:stretch>
            </a:blipFill>
            <a:effectLst>
              <a:outerShdw blurRad="76200" dir="2400000" sy="23000" kx="-1200000" algn="bl" rotWithShape="0">
                <a:schemeClr val="bg1">
                  <a:lumMod val="50000"/>
                  <a:alpha val="20000"/>
                </a:schemeClr>
              </a:outerShdw>
            </a:effectLst>
          </c:spPr>
          <c:explosion val="0"/>
          <c:dPt>
            <c:idx val="0"/>
            <c:bubble3D val="0"/>
            <c:spPr>
              <a:blipFill rotWithShape="1">
                <a:blip xmlns:r="http://schemas.openxmlformats.org/officeDocument/2006/relationships" r:embed="rId4"/>
                <a:stretch>
                  <a:fillRect/>
                </a:stretch>
              </a:blipFill>
              <a:ln>
                <a:noFill/>
              </a:ln>
              <a:effectLst>
                <a:outerShdw blurRad="76200" dir="2400000" sy="23000" kx="-1200000" algn="bl" rotWithShape="0">
                  <a:schemeClr val="bg1">
                    <a:lumMod val="50000"/>
                    <a:alpha val="20000"/>
                  </a:schemeClr>
                </a:outerShdw>
              </a:effectLst>
            </c:spPr>
          </c:dPt>
          <c:dPt>
            <c:idx val="1"/>
            <c:bubble3D val="0"/>
            <c:spPr>
              <a:blipFill rotWithShape="1">
                <a:blip xmlns:r="http://schemas.openxmlformats.org/officeDocument/2006/relationships" r:embed="rId5"/>
                <a:stretch>
                  <a:fillRect/>
                </a:stretch>
              </a:blipFill>
              <a:ln>
                <a:noFill/>
              </a:ln>
              <a:effectLst>
                <a:outerShdw blurRad="76200" dir="2400000" sy="23000" kx="-1200000" algn="bl" rotWithShape="0">
                  <a:schemeClr val="bg1">
                    <a:lumMod val="50000"/>
                    <a:alpha val="20000"/>
                  </a:schemeClr>
                </a:outerShdw>
              </a:effectLst>
            </c:spPr>
          </c:dPt>
          <c:dPt>
            <c:idx val="2"/>
            <c:bubble3D val="0"/>
            <c:spPr>
              <a:blipFill rotWithShape="1">
                <a:blip xmlns:r="http://schemas.openxmlformats.org/officeDocument/2006/relationships" r:embed="rId6"/>
                <a:stretch>
                  <a:fillRect/>
                </a:stretch>
              </a:blipFill>
              <a:ln>
                <a:noFill/>
              </a:ln>
              <a:effectLst>
                <a:outerShdw blurRad="76200" dir="2400000" sy="23000" kx="-1200000" algn="bl" rotWithShape="0">
                  <a:schemeClr val="bg1">
                    <a:lumMod val="50000"/>
                    <a:alpha val="20000"/>
                  </a:schemeClr>
                </a:outerShdw>
              </a:effectLst>
            </c:spPr>
          </c:dPt>
          <c:dPt>
            <c:idx val="3"/>
            <c:bubble3D val="0"/>
            <c:spPr>
              <a:blipFill rotWithShape="1">
                <a:blip xmlns:r="http://schemas.openxmlformats.org/officeDocument/2006/relationships" r:embed="rId3"/>
                <a:stretch>
                  <a:fillRect/>
                </a:stretch>
              </a:blipFill>
              <a:ln>
                <a:noFill/>
              </a:ln>
              <a:effectLst>
                <a:outerShdw blurRad="76200" dir="2400000" sy="23000" kx="-1200000" algn="bl" rotWithShape="0">
                  <a:schemeClr val="bg1">
                    <a:lumMod val="50000"/>
                    <a:alpha val="20000"/>
                  </a:schemeClr>
                </a:outerShdw>
              </a:effectLst>
            </c:spPr>
          </c:dPt>
          <c:dLbls>
            <c:dLbl>
              <c:idx val="1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/>
                <a:lstStyle/>
                <a:p>
                  <a:pPr>
                    <a:defRPr lang="zh-CN"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Sheet1!$A$4:$A$7</c:f>
              <c:strCache>
                <c:ptCount val="4"/>
                <c:pt idx="0">
                  <c:v>政策文件类</c:v>
                </c:pt>
                <c:pt idx="1">
                  <c:v>最新动态类</c:v>
                </c:pt>
                <c:pt idx="2">
                  <c:v>通知公告类</c:v>
                </c:pt>
                <c:pt idx="3">
                  <c:v>其他类</c:v>
                </c:pt>
              </c:strCache>
            </c:strRef>
          </c:cat>
          <c:val>
            <c:numRef>
              <c:f>Sheet1!$B$4:$B$7</c:f>
              <c:numCache>
                <c:formatCode>General</c:formatCode>
                <c:ptCount val="4"/>
                <c:pt idx="0">
                  <c:v>75</c:v>
                </c:pt>
                <c:pt idx="1">
                  <c:v>45</c:v>
                </c:pt>
                <c:pt idx="2">
                  <c:v>7</c:v>
                </c:pt>
                <c:pt idx="3">
                  <c:v>28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3175">
          <a:solidFill>
            <a:schemeClr val="bg1">
              <a:lumMod val="95000"/>
            </a:schemeClr>
          </a:solidFill>
        </a:ln>
        <a:effectLst/>
      </c:spPr>
    </c:plotArea>
    <c:legend>
      <c:legendPos val="r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>
        <c:manualLayout>
          <c:xMode val="edge"/>
          <c:yMode val="edge"/>
          <c:x val="0.696539217167901"/>
          <c:y val="0.0422459893048128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0980d12a-1682-4ec0-871b-ebf5333cf97d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b="1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2515</Words>
  <Characters>2607</Characters>
  <Lines>0</Lines>
  <Paragraphs>0</Paragraphs>
  <TotalTime>0</TotalTime>
  <ScaleCrop>false</ScaleCrop>
  <LinksUpToDate>false</LinksUpToDate>
  <CharactersWithSpaces>2607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2023-01-12T01:39:00Z</dcterms:created>
  <dc:creator>刘果</dc:creator>
  <cp:lastModifiedBy>刘果</cp:lastModifiedBy>
  <dcterms:modified xsi:type="dcterms:W3CDTF">2025-01-10T08:19:40Z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ABF9E594B28F4200B7E7EDFEC6C73832_13</vt:lpwstr>
  </property>
  <property fmtid="{D5CDD505-2E9C-101B-9397-08002B2CF9AE}" pid="4" name="KSOTemplateDocerSaveRecord">
    <vt:lpwstr>eyJoZGlkIjoiZDFmMTg4MDQwYzU5YjMyZjNhOGVmNDZiNzI0ZDk2NDYiLCJ1c2VySWQiOiIzMzAyMDA2MDIifQ==</vt:lpwstr>
  </property>
</Properties>
</file>