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5" w:rightChars="-5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eastAsia="zh-CN"/>
          <w14:textFill>
            <w14:solidFill>
              <w14:schemeClr w14:val="tx1"/>
            </w14:solidFill>
          </w14:textFill>
        </w:rPr>
        <w:t>嘉祥县黄垓镇人民政府</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3</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年政府信息公开工作年度报告</w:t>
      </w:r>
    </w:p>
    <w:p>
      <w:pPr>
        <w:keepNext w:val="0"/>
        <w:keepLines w:val="0"/>
        <w:pageBreakBefore w:val="0"/>
        <w:kinsoku/>
        <w:wordWrap/>
        <w:overflowPunct/>
        <w:topLinePunct w:val="0"/>
        <w:autoSpaceDE/>
        <w:autoSpaceDN/>
        <w:bidi w:val="0"/>
        <w:adjustRightInd/>
        <w:snapToGrid/>
        <w:spacing w:line="560" w:lineRule="exact"/>
        <w:ind w:right="-105" w:rightChars="-5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本报告由黄垓镇人民政府按照《中华人民共和国政府信息公开条例》（以下简称《条例》）和《中华人民共和国政府信息公开工作年度报告格式》（国办公开办函〔2021〕30号）要求编制。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本报告所列数据的统计期限自202</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kern w:val="0"/>
          <w:sz w:val="32"/>
          <w:szCs w:val="32"/>
          <w14:textFill>
            <w14:solidFill>
              <w14:schemeClr w14:val="tx1"/>
            </w14:solidFill>
          </w14:textFill>
        </w:rPr>
        <w:t>年1月1日起至202</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黄垓镇人民政府</w:t>
      </w:r>
      <w:r>
        <w:rPr>
          <w:rFonts w:hint="eastAsia" w:ascii="仿宋_GB2312" w:hAnsi="仿宋_GB2312" w:eastAsia="仿宋_GB2312" w:cs="仿宋_GB2312"/>
          <w:b/>
          <w:color w:val="000000" w:themeColor="text1"/>
          <w:kern w:val="0"/>
          <w:sz w:val="32"/>
          <w:szCs w:val="32"/>
          <w14:textFill>
            <w14:solidFill>
              <w14:schemeClr w14:val="tx1"/>
            </w14:solidFill>
          </w14:textFill>
        </w:rPr>
        <w:t>联系（地址：</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黄垓镇平安大街</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6号</w:t>
      </w:r>
      <w:r>
        <w:rPr>
          <w:rFonts w:hint="eastAsia" w:ascii="仿宋_GB2312" w:hAnsi="仿宋_GB2312" w:eastAsia="仿宋_GB2312" w:cs="仿宋_GB2312"/>
          <w:b/>
          <w:color w:val="000000" w:themeColor="text1"/>
          <w:kern w:val="0"/>
          <w:sz w:val="32"/>
          <w:szCs w:val="32"/>
          <w14:textFill>
            <w14:solidFill>
              <w14:schemeClr w14:val="tx1"/>
            </w14:solidFill>
          </w14:textFill>
        </w:rPr>
        <w:t>，联系电话：0537-</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6781002</w:t>
      </w:r>
      <w:r>
        <w:rPr>
          <w:rFonts w:hint="eastAsia" w:ascii="仿宋_GB2312" w:hAnsi="仿宋_GB2312" w:eastAsia="仿宋_GB2312" w:cs="仿宋_GB2312"/>
          <w:b/>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年，黄垓镇将政务公开作为依法行政的重要内容，全方位、多层面、立体式的政务公开，助力打造“阳光政府”。</w:t>
      </w:r>
      <w:r>
        <w:rPr>
          <w:rFonts w:hint="eastAsia" w:ascii="楷体_GB2312" w:hAnsi="楷体_GB2312" w:eastAsia="楷体_GB2312" w:cs="楷体_GB2312"/>
          <w:b/>
          <w:color w:val="000000"/>
          <w:kern w:val="0"/>
          <w:sz w:val="32"/>
          <w:szCs w:val="32"/>
          <w:lang w:eastAsia="zh-CN"/>
        </w:rPr>
        <w:t>一是在“全”字上下功夫。</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成立政务信息公开工作领导小组，形成“主要领导亲自抓，分管领导具体抓，职能部门抓落实”的工作机制。</w:t>
      </w:r>
      <w:r>
        <w:rPr>
          <w:rFonts w:hint="eastAsia" w:ascii="楷体_GB2312" w:hAnsi="楷体_GB2312" w:eastAsia="楷体_GB2312" w:cs="楷体_GB2312"/>
          <w:b/>
          <w:color w:val="000000"/>
          <w:kern w:val="0"/>
          <w:sz w:val="32"/>
          <w:szCs w:val="32"/>
          <w:lang w:eastAsia="zh-CN"/>
        </w:rPr>
        <w:t>二是在“透”字上做文章。</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及时公开政府和各项中心工作开展、落实情况，切实把群众“急难愁盼”问题作为政务信息公开的重点，以网站为主要载体和公开平台，积极回应社会关切。</w:t>
      </w:r>
      <w:r>
        <w:rPr>
          <w:rFonts w:hint="eastAsia" w:ascii="楷体_GB2312" w:hAnsi="楷体_GB2312" w:eastAsia="楷体_GB2312" w:cs="楷体_GB2312"/>
          <w:b/>
          <w:color w:val="000000"/>
          <w:kern w:val="0"/>
          <w:sz w:val="32"/>
          <w:szCs w:val="32"/>
          <w:lang w:eastAsia="zh-CN"/>
        </w:rPr>
        <w:t>三是在“广”字上求突破。</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充分利用政府网站，结合政务公开栏、窗口咨询等服务方式，建立“线上+线下”立体公开方式，最大化提高群众政务信息知晓率。</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 202</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年度我镇通过嘉祥县政府网站共主动公开政府信息</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178</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条，其中，工作动态</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146</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条，通知公告2条，</w:t>
      </w: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主动公</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1555750</wp:posOffset>
            </wp:positionH>
            <wp:positionV relativeFrom="paragraph">
              <wp:posOffset>1377950</wp:posOffset>
            </wp:positionV>
            <wp:extent cx="2585085" cy="3481705"/>
            <wp:effectExtent l="0" t="0" r="5715" b="4445"/>
            <wp:wrapTopAndBottom/>
            <wp:docPr id="1" name="图片 1" descr="c0c697e1e62afb05d256944e4a6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c697e1e62afb05d256944e4a65833"/>
                    <pic:cNvPicPr>
                      <a:picLocks noChangeAspect="1"/>
                    </pic:cNvPicPr>
                  </pic:nvPicPr>
                  <pic:blipFill>
                    <a:blip r:embed="rId4"/>
                    <a:stretch>
                      <a:fillRect/>
                    </a:stretch>
                  </pic:blipFill>
                  <pic:spPr>
                    <a:xfrm>
                      <a:off x="0" y="0"/>
                      <a:ext cx="2585085" cy="3481705"/>
                    </a:xfrm>
                    <a:prstGeom prst="rect">
                      <a:avLst/>
                    </a:prstGeom>
                  </pic:spPr>
                </pic:pic>
              </a:graphicData>
            </a:graphic>
          </wp:anchor>
        </w:drawing>
      </w: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开目录</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2条，</w:t>
      </w: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行政执法公示</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5条，</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其他法定公开</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23</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条。目前，黄垓镇的信息公开主要是在黄垓镇人民政府门户网站的政府信息公开专栏发布。无政府公报、新闻发布会等其他形式。 </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202</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kern w:val="0"/>
          <w:sz w:val="32"/>
          <w:szCs w:val="32"/>
          <w14:textFill>
            <w14:solidFill>
              <w14:schemeClr w14:val="tx1"/>
            </w14:solidFill>
          </w14:textFill>
        </w:rPr>
        <w:t>年黄垓镇未收到依申请公开政府信息。</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lang w:eastAsia="zh-CN"/>
        </w:rPr>
        <w:t>我镇高度重视政府信息公开工作，成立了由镇长任组长、副书记任副组长的政府信息公开领导小组，严格落实各部门的职能职责，形成一级抓一级、层层抓落实的局面，保证了2023年政府信息公开工作的有序推进。</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auto"/>
          <w:kern w:val="0"/>
          <w:sz w:val="32"/>
          <w:szCs w:val="32"/>
        </w:rPr>
      </w:pPr>
      <w:r>
        <w:rPr>
          <w:rFonts w:hint="eastAsia" w:ascii="方正楷体简体" w:hAnsi="Times New Roman" w:eastAsia="方正楷体简体" w:cs="Times New Roman"/>
          <w:b/>
          <w:color w:val="auto"/>
          <w:kern w:val="0"/>
          <w:sz w:val="32"/>
          <w:szCs w:val="32"/>
        </w:rPr>
        <w:t>（四）政府信息公开平台建设情况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 我</w:t>
      </w:r>
      <w:r>
        <w:rPr>
          <w:rFonts w:hint="eastAsia" w:ascii="仿宋_GB2312" w:hAnsi="仿宋_GB2312" w:eastAsia="仿宋_GB2312" w:cs="仿宋_GB2312"/>
          <w:b/>
          <w:color w:val="auto"/>
          <w:kern w:val="0"/>
          <w:sz w:val="32"/>
          <w:szCs w:val="32"/>
          <w:lang w:eastAsia="zh-CN"/>
        </w:rPr>
        <w:t>镇</w:t>
      </w:r>
      <w:r>
        <w:rPr>
          <w:rFonts w:hint="eastAsia" w:ascii="仿宋_GB2312" w:hAnsi="仿宋_GB2312" w:eastAsia="仿宋_GB2312" w:cs="仿宋_GB2312"/>
          <w:b/>
          <w:color w:val="auto"/>
          <w:kern w:val="0"/>
          <w:sz w:val="32"/>
          <w:szCs w:val="32"/>
        </w:rPr>
        <w:t>没有独立的门户网站，信息公开工作依托县政府门户网站及时开展，</w:t>
      </w:r>
      <w:r>
        <w:rPr>
          <w:rFonts w:hint="eastAsia" w:ascii="仿宋_GB2312" w:hAnsi="仿宋_GB2312" w:eastAsia="仿宋_GB2312" w:cs="仿宋_GB2312"/>
          <w:b/>
          <w:color w:val="auto"/>
          <w:kern w:val="0"/>
          <w:sz w:val="32"/>
          <w:szCs w:val="32"/>
          <w:lang w:eastAsia="zh-CN"/>
        </w:rPr>
        <w:t>按照要求</w:t>
      </w:r>
      <w:r>
        <w:rPr>
          <w:rFonts w:hint="eastAsia" w:ascii="仿宋_GB2312" w:hAnsi="仿宋_GB2312" w:eastAsia="仿宋_GB2312" w:cs="仿宋_GB2312"/>
          <w:b/>
          <w:color w:val="auto"/>
          <w:kern w:val="0"/>
          <w:sz w:val="32"/>
          <w:szCs w:val="32"/>
        </w:rPr>
        <w:t>进行动态更新和维护。我</w:t>
      </w:r>
      <w:r>
        <w:rPr>
          <w:rFonts w:hint="eastAsia" w:ascii="仿宋_GB2312" w:hAnsi="仿宋_GB2312" w:eastAsia="仿宋_GB2312" w:cs="仿宋_GB2312"/>
          <w:b/>
          <w:color w:val="auto"/>
          <w:kern w:val="0"/>
          <w:sz w:val="32"/>
          <w:szCs w:val="32"/>
          <w:lang w:eastAsia="zh-CN"/>
        </w:rPr>
        <w:t>镇</w:t>
      </w:r>
      <w:r>
        <w:rPr>
          <w:rFonts w:hint="eastAsia" w:ascii="仿宋_GB2312" w:hAnsi="仿宋_GB2312" w:eastAsia="仿宋_GB2312" w:cs="仿宋_GB2312"/>
          <w:b/>
          <w:color w:val="auto"/>
          <w:kern w:val="0"/>
          <w:sz w:val="32"/>
          <w:szCs w:val="32"/>
        </w:rPr>
        <w:t>积极配合</w:t>
      </w:r>
      <w:r>
        <w:rPr>
          <w:rFonts w:hint="eastAsia" w:ascii="仿宋_GB2312" w:hAnsi="仿宋_GB2312" w:eastAsia="仿宋_GB2312" w:cs="仿宋_GB2312"/>
          <w:b/>
          <w:color w:val="auto"/>
          <w:kern w:val="0"/>
          <w:sz w:val="32"/>
          <w:szCs w:val="32"/>
          <w:lang w:eastAsia="zh-CN"/>
        </w:rPr>
        <w:t>上级部门</w:t>
      </w:r>
      <w:r>
        <w:rPr>
          <w:rFonts w:hint="eastAsia" w:ascii="仿宋_GB2312" w:hAnsi="仿宋_GB2312" w:eastAsia="仿宋_GB2312" w:cs="仿宋_GB2312"/>
          <w:b/>
          <w:color w:val="auto"/>
          <w:kern w:val="0"/>
          <w:sz w:val="32"/>
          <w:szCs w:val="32"/>
        </w:rPr>
        <w:t>对本单位信息公开工作进行</w:t>
      </w:r>
      <w:r>
        <w:rPr>
          <w:rFonts w:hint="eastAsia" w:ascii="仿宋_GB2312" w:hAnsi="仿宋_GB2312" w:eastAsia="仿宋_GB2312" w:cs="仿宋_GB2312"/>
          <w:b/>
          <w:color w:val="auto"/>
          <w:kern w:val="0"/>
          <w:sz w:val="32"/>
          <w:szCs w:val="32"/>
          <w:lang w:eastAsia="zh-CN"/>
        </w:rPr>
        <w:t>自查自纠</w:t>
      </w:r>
      <w:r>
        <w:rPr>
          <w:rFonts w:hint="eastAsia" w:ascii="仿宋_GB2312" w:hAnsi="仿宋_GB2312" w:eastAsia="仿宋_GB2312" w:cs="仿宋_GB2312"/>
          <w:b/>
          <w:color w:val="auto"/>
          <w:kern w:val="0"/>
          <w:sz w:val="32"/>
          <w:szCs w:val="32"/>
        </w:rPr>
        <w:t>，对发现的问题积极整改落实，持续做好信息公开工作。</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auto"/>
          <w:kern w:val="0"/>
          <w:sz w:val="32"/>
          <w:szCs w:val="32"/>
        </w:rPr>
      </w:pPr>
      <w:r>
        <w:rPr>
          <w:rFonts w:hint="eastAsia" w:ascii="方正楷体简体" w:hAnsi="Times New Roman" w:eastAsia="方正楷体简体" w:cs="Times New Roman"/>
          <w:b/>
          <w:color w:val="auto"/>
          <w:kern w:val="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FF0000"/>
          <w:kern w:val="0"/>
          <w:sz w:val="32"/>
          <w:szCs w:val="32"/>
        </w:rPr>
      </w:pPr>
      <w:r>
        <w:rPr>
          <w:rFonts w:hint="eastAsia" w:ascii="仿宋_GB2312" w:hAnsi="仿宋_GB2312" w:eastAsia="仿宋_GB2312" w:cs="仿宋_GB2312"/>
          <w:b/>
          <w:color w:val="auto"/>
          <w:kern w:val="0"/>
          <w:sz w:val="32"/>
          <w:szCs w:val="32"/>
          <w:lang w:eastAsia="zh-CN"/>
        </w:rPr>
        <w:t>黄垓镇在实践中求探索，在探索中求规范，通过切实加强组织领导，不断完善监督机制，拓展规范公开内容，积极探索公开形式，全面推动政务公开标准化规范化工作，努力打造阳光政府、公开政府和服务型政府。</w:t>
      </w:r>
    </w:p>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ascii="方正黑体简体" w:hAnsi="Times New Roman" w:eastAsia="方正黑体简体" w:cs="Times New Roman"/>
                <w:b/>
                <w:kern w:val="0"/>
                <w:sz w:val="21"/>
                <w:szCs w:val="21"/>
              </w:rPr>
            </w:pPr>
          </w:p>
        </w:tc>
        <w:tc>
          <w:tcPr>
            <w:tcW w:w="62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ascii="方正黑体简体" w:hAnsi="Times New Roman" w:eastAsia="方正黑体简体" w:cs="Times New Roman"/>
                <w:b/>
                <w:kern w:val="0"/>
                <w:sz w:val="21"/>
                <w:szCs w:val="21"/>
              </w:rPr>
            </w:pPr>
          </w:p>
        </w:tc>
        <w:tc>
          <w:tcPr>
            <w:tcW w:w="600"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ascii="方正黑体简体" w:hAnsi="Times New Roman" w:eastAsia="方正黑体简体" w:cs="Times New Roman"/>
                <w:b/>
                <w:kern w:val="0"/>
                <w:sz w:val="21"/>
                <w:szCs w:val="21"/>
              </w:rPr>
            </w:pPr>
          </w:p>
        </w:tc>
        <w:tc>
          <w:tcPr>
            <w:tcW w:w="59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ascii="方正黑体简体" w:hAnsi="Times New Roman" w:eastAsia="方正黑体简体" w:cs="Times New Roman"/>
                <w:b/>
                <w:kern w:val="0"/>
                <w:sz w:val="21"/>
                <w:szCs w:val="21"/>
              </w:rPr>
            </w:pPr>
          </w:p>
        </w:tc>
        <w:tc>
          <w:tcPr>
            <w:tcW w:w="46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ascii="方正黑体简体" w:hAnsi="Times New Roman" w:eastAsia="方正黑体简体" w:cs="Times New Roman"/>
                <w:b/>
                <w:kern w:val="0"/>
                <w:sz w:val="21"/>
                <w:szCs w:val="21"/>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p>
        </w:tc>
        <w:tc>
          <w:tcPr>
            <w:tcW w:w="5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46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42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5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4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jc w:val="center"/>
              <w:textAlignment w:val="auto"/>
              <w:rPr>
                <w:rFonts w:hint="eastAsia" w:ascii="方正黑体简体" w:hAnsi="Times New Roman" w:eastAsia="方正黑体简体" w:cs="Times New Roman"/>
                <w:b/>
                <w:kern w:val="0"/>
                <w:sz w:val="21"/>
                <w:szCs w:val="21"/>
                <w:lang w:val="en-US" w:eastAsia="zh-CN"/>
              </w:rPr>
            </w:pPr>
            <w:r>
              <w:rPr>
                <w:rFonts w:hint="eastAsia" w:ascii="方正黑体简体" w:hAnsi="Times New Roman" w:eastAsia="方正黑体简体" w:cs="Times New Roman"/>
                <w:b/>
                <w:kern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（一）存在的主要问题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bidi="ar-SA"/>
          <w14:textFill>
            <w14:solidFill>
              <w14:schemeClr w14:val="tx1"/>
            </w14:solidFill>
          </w14:textFill>
        </w:rPr>
        <w:t>存在公开事项不全面，公开内容不明确，公开标准不细致等问题。存在结合实际、自身特点的信息公开较少。涉及社会热点、群众关切的信息公开较少。</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（二）改进措施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i w:val="0"/>
          <w:iCs w:val="0"/>
          <w:caps w:val="0"/>
          <w:color w:val="222222"/>
          <w:spacing w:val="0"/>
          <w:sz w:val="32"/>
          <w:szCs w:val="32"/>
          <w:shd w:val="clear" w:color="auto" w:fill="FFFFFF"/>
          <w:lang w:val="en-US" w:eastAsia="zh-CN"/>
        </w:rPr>
        <w:t>一是拓宽服务内容，细化公开事项。</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把政务公开工作作为推进依法行政的重要手段，不断扩大公开范围，细化公开内容，凡属涉及公共利益、公众权益、社会关切的内容及时进行科学解读与阐释，切实增进公众对政府工作的认同感。坚持把群众最关心的事项和社会关注的热点作为重点，按照上级的时间规定，及时更新维护政务信息网各目录中的信息。</w:t>
      </w:r>
      <w:r>
        <w:rPr>
          <w:rFonts w:hint="eastAsia" w:ascii="楷体_GB2312" w:hAnsi="楷体_GB2312" w:eastAsia="楷体_GB2312" w:cs="楷体_GB2312"/>
          <w:b/>
          <w:bCs/>
          <w:i w:val="0"/>
          <w:iCs w:val="0"/>
          <w:caps w:val="0"/>
          <w:color w:val="222222"/>
          <w:spacing w:val="0"/>
          <w:sz w:val="32"/>
          <w:szCs w:val="32"/>
          <w:shd w:val="clear" w:color="auto" w:fill="FFFFFF"/>
          <w:lang w:val="en-US" w:eastAsia="zh-CN"/>
        </w:rPr>
        <w:t>二是规范操作流程，完善审核制度。</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建立完善“信息公开审查制度”、“依申请公开制度”、“维护更新制度”。实行首问负责制、受理制和限时办结制、监督检查和责任追究制等制度，确保政务公开工作不走过场，不流于形式。</w:t>
      </w:r>
    </w:p>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rPr>
        <w:t>（一）依据《政府信息公开信息处理费管理办法》</w:t>
      </w:r>
      <w:r>
        <w:rPr>
          <w:rFonts w:hint="eastAsia" w:ascii="仿宋_GB2312" w:hAnsi="仿宋_GB2312" w:eastAsia="仿宋_GB2312" w:cs="仿宋_GB2312"/>
          <w:b/>
          <w:color w:val="auto"/>
          <w:kern w:val="0"/>
          <w:sz w:val="32"/>
          <w:szCs w:val="32"/>
          <w:lang w:eastAsia="zh-CN"/>
        </w:rPr>
        <w:t>，</w:t>
      </w:r>
      <w:r>
        <w:rPr>
          <w:rFonts w:hint="eastAsia" w:ascii="仿宋_GB2312" w:hAnsi="仿宋_GB2312" w:eastAsia="仿宋_GB2312" w:cs="仿宋_GB2312"/>
          <w:b/>
          <w:color w:val="auto"/>
          <w:kern w:val="0"/>
          <w:sz w:val="32"/>
          <w:szCs w:val="32"/>
        </w:rPr>
        <w:t>嘉祥县</w:t>
      </w:r>
      <w:r>
        <w:rPr>
          <w:rFonts w:hint="eastAsia" w:ascii="仿宋_GB2312" w:hAnsi="仿宋_GB2312" w:eastAsia="仿宋_GB2312" w:cs="仿宋_GB2312"/>
          <w:b/>
          <w:color w:val="auto"/>
          <w:kern w:val="0"/>
          <w:sz w:val="32"/>
          <w:szCs w:val="32"/>
          <w:lang w:eastAsia="zh-CN"/>
        </w:rPr>
        <w:t>黄垓镇</w:t>
      </w:r>
      <w:r>
        <w:rPr>
          <w:rFonts w:hint="eastAsia" w:ascii="仿宋_GB2312" w:hAnsi="仿宋_GB2312" w:eastAsia="仿宋_GB2312" w:cs="仿宋_GB2312"/>
          <w:b/>
          <w:color w:val="auto"/>
          <w:kern w:val="0"/>
          <w:sz w:val="32"/>
          <w:szCs w:val="32"/>
        </w:rPr>
        <w:t>202</w:t>
      </w:r>
      <w:r>
        <w:rPr>
          <w:rFonts w:hint="eastAsia" w:ascii="仿宋_GB2312" w:hAnsi="仿宋_GB2312" w:eastAsia="仿宋_GB2312" w:cs="仿宋_GB2312"/>
          <w:b/>
          <w:color w:val="auto"/>
          <w:kern w:val="0"/>
          <w:sz w:val="32"/>
          <w:szCs w:val="32"/>
          <w:lang w:val="en-US" w:eastAsia="zh-CN"/>
        </w:rPr>
        <w:t>3</w:t>
      </w:r>
      <w:r>
        <w:rPr>
          <w:rFonts w:hint="eastAsia" w:ascii="仿宋_GB2312" w:hAnsi="仿宋_GB2312" w:eastAsia="仿宋_GB2312" w:cs="仿宋_GB2312"/>
          <w:b/>
          <w:color w:val="auto"/>
          <w:kern w:val="0"/>
          <w:sz w:val="32"/>
          <w:szCs w:val="32"/>
        </w:rPr>
        <w:t>年没有收取信息处理费情况</w:t>
      </w:r>
      <w:r>
        <w:rPr>
          <w:rFonts w:hint="eastAsia" w:ascii="仿宋_GB2312" w:hAnsi="仿宋_GB2312" w:eastAsia="仿宋_GB2312" w:cs="仿宋_GB2312"/>
          <w:b/>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（二）严格落实202</w:t>
      </w:r>
      <w:r>
        <w:rPr>
          <w:rFonts w:hint="eastAsia" w:ascii="仿宋_GB2312" w:hAnsi="仿宋_GB2312" w:eastAsia="仿宋_GB2312" w:cs="仿宋_GB2312"/>
          <w:b/>
          <w:color w:val="auto"/>
          <w:kern w:val="0"/>
          <w:sz w:val="32"/>
          <w:szCs w:val="32"/>
          <w:lang w:val="en-US" w:eastAsia="zh-CN"/>
        </w:rPr>
        <w:t>3</w:t>
      </w:r>
      <w:r>
        <w:rPr>
          <w:rFonts w:hint="eastAsia" w:ascii="仿宋_GB2312" w:hAnsi="仿宋_GB2312" w:eastAsia="仿宋_GB2312" w:cs="仿宋_GB2312"/>
          <w:b/>
          <w:color w:val="auto"/>
          <w:kern w:val="0"/>
          <w:sz w:val="32"/>
          <w:szCs w:val="32"/>
        </w:rPr>
        <w:t>年度嘉祥县政务公开工作要点，紧紧围绕“转变职能、优化服务、方便群众、提高效率”的工作要求，持续做好便民服务“运算题”，为群众提供更加优质、高效、便捷的服务。</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仿宋_GB2312" w:cs="Times New Roman"/>
          <w:b/>
          <w:bCs/>
          <w:sz w:val="32"/>
          <w:szCs w:val="32"/>
          <w:lang w:val="en-US" w:eastAsia="zh-CN"/>
        </w:rPr>
      </w:pPr>
      <w:r>
        <w:rPr>
          <w:rFonts w:hint="eastAsia" w:ascii="仿宋_GB2312" w:hAnsi="仿宋_GB2312" w:eastAsia="仿宋_GB2312" w:cs="仿宋_GB2312"/>
          <w:b/>
          <w:color w:val="auto"/>
          <w:kern w:val="0"/>
          <w:sz w:val="32"/>
          <w:szCs w:val="32"/>
        </w:rPr>
        <w:t>（三）人大代表建议和政协提案办理结果公开情况：2023年，本单位未收到人大代表建议和政协提案。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DVmMGI3ZWVkZDAyZGExNGMxOGQzZjU3ZGQyNzMifQ=="/>
  </w:docVars>
  <w:rsids>
    <w:rsidRoot w:val="58E579F9"/>
    <w:rsid w:val="011819A4"/>
    <w:rsid w:val="020B260F"/>
    <w:rsid w:val="03D40BC5"/>
    <w:rsid w:val="04032DEF"/>
    <w:rsid w:val="093356E0"/>
    <w:rsid w:val="0C377EFF"/>
    <w:rsid w:val="0D92163A"/>
    <w:rsid w:val="0DC069EB"/>
    <w:rsid w:val="0DC624E5"/>
    <w:rsid w:val="10C7074F"/>
    <w:rsid w:val="10D722F4"/>
    <w:rsid w:val="15D653D0"/>
    <w:rsid w:val="16345A4B"/>
    <w:rsid w:val="19292031"/>
    <w:rsid w:val="1A081A37"/>
    <w:rsid w:val="1B155FFD"/>
    <w:rsid w:val="1E2F253D"/>
    <w:rsid w:val="200331F9"/>
    <w:rsid w:val="21010AC3"/>
    <w:rsid w:val="23034420"/>
    <w:rsid w:val="23E27806"/>
    <w:rsid w:val="24014FBB"/>
    <w:rsid w:val="278C0542"/>
    <w:rsid w:val="287C2E6B"/>
    <w:rsid w:val="29B541CC"/>
    <w:rsid w:val="2A9B2295"/>
    <w:rsid w:val="2BF041E8"/>
    <w:rsid w:val="2EB16469"/>
    <w:rsid w:val="2F68177C"/>
    <w:rsid w:val="30055568"/>
    <w:rsid w:val="35193EDB"/>
    <w:rsid w:val="36741CE4"/>
    <w:rsid w:val="37753DFB"/>
    <w:rsid w:val="3B0525E1"/>
    <w:rsid w:val="3B9A439D"/>
    <w:rsid w:val="3B9D7F45"/>
    <w:rsid w:val="3D670293"/>
    <w:rsid w:val="3D8845A4"/>
    <w:rsid w:val="3D903453"/>
    <w:rsid w:val="402A6518"/>
    <w:rsid w:val="41091364"/>
    <w:rsid w:val="41E45005"/>
    <w:rsid w:val="42B105EC"/>
    <w:rsid w:val="43735143"/>
    <w:rsid w:val="44652869"/>
    <w:rsid w:val="45136BF2"/>
    <w:rsid w:val="45A44559"/>
    <w:rsid w:val="46300C30"/>
    <w:rsid w:val="486D78B6"/>
    <w:rsid w:val="499379D5"/>
    <w:rsid w:val="4A6B1BCF"/>
    <w:rsid w:val="4AF56EDE"/>
    <w:rsid w:val="5380045D"/>
    <w:rsid w:val="538232D9"/>
    <w:rsid w:val="55734204"/>
    <w:rsid w:val="55EC20D4"/>
    <w:rsid w:val="5675509B"/>
    <w:rsid w:val="5741752E"/>
    <w:rsid w:val="57F83C01"/>
    <w:rsid w:val="58721A85"/>
    <w:rsid w:val="58E579F9"/>
    <w:rsid w:val="5A0C6C7A"/>
    <w:rsid w:val="5D2665E5"/>
    <w:rsid w:val="5D5658EC"/>
    <w:rsid w:val="616F463E"/>
    <w:rsid w:val="61B33ECC"/>
    <w:rsid w:val="63A24ED8"/>
    <w:rsid w:val="64751A38"/>
    <w:rsid w:val="64EC7B0A"/>
    <w:rsid w:val="651123AE"/>
    <w:rsid w:val="66BB693E"/>
    <w:rsid w:val="6A104B8F"/>
    <w:rsid w:val="6D565B5B"/>
    <w:rsid w:val="70CB37A0"/>
    <w:rsid w:val="742B7186"/>
    <w:rsid w:val="769C413C"/>
    <w:rsid w:val="796949FA"/>
    <w:rsid w:val="797E46CB"/>
    <w:rsid w:val="7A413AA1"/>
    <w:rsid w:val="7BC16FAA"/>
    <w:rsid w:val="7BEC5DDB"/>
    <w:rsid w:val="7C6A188E"/>
    <w:rsid w:val="7CDB3901"/>
    <w:rsid w:val="7CEE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autoRedefine/>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12488</Words>
  <Characters>12688</Characters>
  <Lines>0</Lines>
  <Paragraphs>0</Paragraphs>
  <TotalTime>53</TotalTime>
  <ScaleCrop>false</ScaleCrop>
  <LinksUpToDate>false</LinksUpToDate>
  <CharactersWithSpaces>13052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冯再强</cp:lastModifiedBy>
  <cp:lastPrinted>2024-01-05T06:41:00Z</cp:lastPrinted>
  <dcterms:modified xsi:type="dcterms:W3CDTF">2024-03-01T07:08:50Z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2A83EAEA5104428D943781FA3A6708A4_13</vt:lpwstr>
  </property>
</Properties>
</file>