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嘉祥县万张街道办事处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</w:t>
      </w:r>
    </w:p>
    <w:p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万张街道办事处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万张街道办事处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联系（地址：嘉祥县万张街道百顺路99号，联系电话：0537-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6511016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万张街道办事处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以建立为民、务实、法治、担当政府为目标，认真贯彻落实省、市、县政府信息公开工作部署，切实加大公开力度，不断规范办事公开和政务公开，把公开透明原则贯穿于政府工作的全过程，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年政府信息公开工作取得新进展。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年，街道通过嘉祥县人民政府门户网站万张街道子网主动公开政府信息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，其中镇街文件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3条，政务动态30条，街道文件1条；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将街道新举措、新变化、新动态及时展现给更多的人，方便群众办事和接受社会监督。</w:t>
      </w:r>
    </w:p>
    <w:p>
      <w:pPr>
        <w:spacing w:line="590" w:lineRule="exact"/>
        <w:ind w:right="-105" w:rightChars="-5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225425</wp:posOffset>
            </wp:positionV>
            <wp:extent cx="4826000" cy="2743200"/>
            <wp:effectExtent l="4445" t="4445" r="8255" b="52705"/>
            <wp:wrapTopAndBottom/>
            <wp:docPr id="3" name="图表 2" descr="7b0a202020202263686172745265734964223a202232303437363132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全年累计受理依申请公开政府信息0件。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万张街道办事处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严格落实网络意识形态责任制及网络安全工作责任制，日常发布内容执行“三审”制度，把好政治关、法律关、政策关、保密关、文字关。对照政府网站安全防护要求，做好日常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工作，确保信息安全。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0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万张街道致力于打造政务公开专区，为进一步提升政务公开水平，提升为民服务质量，我街道印发带有政务公开专区的折页，在为民服务大厅设立政务公开窗口，提升群众知晓度，打造好政务专区，做好政务公开平台建设工作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认真履行政务公开工作职责,推进监督检查工作常态化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加强对各部门的日常考核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定期对政府公开信息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自查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对发现的问题及时整改，做好日常检查，及时纠正错敏信息，不断提升运维管理水平。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（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一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存在的问题：1、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街道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信息与政务公开工作由办公室承担。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由于人员调动原因，新任工作人员对系统不够了解，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人员的相对专业性、稳定性难以保障，不利于工作的顺利开展。2、思想上个别同志不重视，有时需要办公室催促相关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部门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搜集信息。</w:t>
      </w:r>
    </w:p>
    <w:p>
      <w:p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（二）改进情况：1、领导重视，专门多次组织召开会议，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研究部署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政务信息公开工作，并把需公开的信息目录分解到相关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部门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，划定责任人，确保信息公开主动、及时。2、固定专人负责政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府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信息工作，通过参加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上级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信息公开办举办培训及网上自学、向同级部门学习等多种形式，积极学习政务信息公开政策、理论和具体实操知识，确保我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街道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政务信息公开工作规范化、标准化。</w:t>
      </w:r>
    </w:p>
    <w:p>
      <w:pPr>
        <w:spacing w:line="590" w:lineRule="exact"/>
        <w:ind w:right="-105" w:rightChars="-50" w:firstLine="640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万张街道办事处党政办公室2023年没有收取信息处理费情况。</w:t>
      </w:r>
    </w:p>
    <w:p>
      <w:pPr>
        <w:numPr>
          <w:ilvl w:val="0"/>
          <w:numId w:val="1"/>
        </w:num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本行政机关落实上级年度政务公开工作要点情况；</w:t>
      </w:r>
    </w:p>
    <w:p>
      <w:pPr>
        <w:numPr>
          <w:ilvl w:val="0"/>
          <w:numId w:val="0"/>
        </w:numPr>
        <w:spacing w:line="590" w:lineRule="exact"/>
        <w:ind w:right="-105" w:rightChars="-50" w:firstLine="640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，万张街道根据上级要求做好政务公开工作，明确了重点领域政府信息公开具体内容，重点以县人民政府门户网站为载体，积极主动公开镇街文件、工作动态等相关信息；并加大对政务公开专区的推广力度，利用为民服务中心增强推广效果，确保群众的知情权。</w:t>
      </w:r>
    </w:p>
    <w:p>
      <w:pPr>
        <w:numPr>
          <w:ilvl w:val="0"/>
          <w:numId w:val="0"/>
        </w:num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（三）人大代表建议和政协提案办理结果公开情况：</w:t>
      </w:r>
    </w:p>
    <w:p>
      <w:pPr>
        <w:numPr>
          <w:ilvl w:val="0"/>
          <w:numId w:val="0"/>
        </w:numPr>
        <w:spacing w:line="590" w:lineRule="exact"/>
        <w:ind w:right="-105" w:rightChars="-50" w:firstLine="640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2023年，本单位未收到人大代表建议和政协提案。</w:t>
      </w:r>
      <w:bookmarkStart w:id="0" w:name="_GoBack"/>
      <w:bookmarkEnd w:id="0"/>
    </w:p>
    <w:p/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33237B"/>
    <w:multiLevelType w:val="singleLevel"/>
    <w:tmpl w:val="D033237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DE1YzI4N2I4MDg0NmY3NmZmNmZmNTA1ZTNlNjMifQ=="/>
  </w:docVars>
  <w:rsids>
    <w:rsidRoot w:val="48813875"/>
    <w:rsid w:val="0E632235"/>
    <w:rsid w:val="15DD509E"/>
    <w:rsid w:val="213F1DD6"/>
    <w:rsid w:val="285A029B"/>
    <w:rsid w:val="2BFD03E6"/>
    <w:rsid w:val="3286554F"/>
    <w:rsid w:val="3DE25B6C"/>
    <w:rsid w:val="3F230D09"/>
    <w:rsid w:val="48813875"/>
    <w:rsid w:val="49F61864"/>
    <w:rsid w:val="6462051D"/>
    <w:rsid w:val="68C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rgbClr val="FF0000"/>
                </a:solidFill>
                <a:latin typeface="华文中宋" panose="02010600040101010101" charset="-122"/>
                <a:ea typeface="华文中宋" panose="02010600040101010101" charset="-122"/>
                <a:cs typeface="华文中宋" panose="02010600040101010101" charset="-122"/>
                <a:sym typeface="华文中宋" panose="02010600040101010101" charset="-122"/>
              </a:defRPr>
            </a:pPr>
            <a:r>
              <a:rPr>
                <a:solidFill>
                  <a:srgbClr val="FF0000"/>
                </a:solidFill>
                <a:latin typeface="华文中宋" panose="02010600040101010101" charset="-122"/>
                <a:ea typeface="华文中宋" panose="02010600040101010101" charset="-122"/>
                <a:cs typeface="华文中宋" panose="02010600040101010101" charset="-122"/>
                <a:sym typeface="华文中宋" panose="02010600040101010101" charset="-122"/>
              </a:rPr>
              <a:t>万张街道政务公开情况</a:t>
            </a:r>
            <a:endParaRPr>
              <a:solidFill>
                <a:srgbClr val="FF0000"/>
              </a:solidFill>
              <a:latin typeface="华文中宋" panose="02010600040101010101" charset="-122"/>
              <a:ea typeface="华文中宋" panose="02010600040101010101" charset="-122"/>
              <a:cs typeface="华文中宋" panose="02010600040101010101" charset="-122"/>
              <a:sym typeface="华文中宋" panose="02010600040101010101" charset="-122"/>
            </a:endParaRPr>
          </a:p>
        </c:rich>
      </c:tx>
      <c:layout>
        <c:manualLayout>
          <c:xMode val="edge"/>
          <c:yMode val="edge"/>
          <c:x val="0.328041290996995"/>
          <c:y val="0.029768467475192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数据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70000">
                    <a:schemeClr val="accent1"/>
                  </a:gs>
                  <a:gs pos="0">
                    <a:schemeClr val="accent1">
                      <a:lumMod val="60000"/>
                      <a:lumOff val="40000"/>
                    </a:schemeClr>
                  </a:gs>
                </a:gsLst>
                <a:lin ang="5400000"/>
              </a:gradFill>
              <a:ln w="57150" cmpd="sng">
                <a:noFill/>
                <a:prstDash val="solid"/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  <a:sp3d contourW="57150"/>
            </c:spPr>
          </c:dPt>
          <c:dPt>
            <c:idx val="1"/>
            <c:bubble3D val="0"/>
            <c:spPr>
              <a:gradFill>
                <a:gsLst>
                  <a:gs pos="70000">
                    <a:schemeClr val="accent2"/>
                  </a:gs>
                  <a:gs pos="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76200">
                <a:gradFill>
                  <a:gsLst>
                    <a:gs pos="0">
                      <a:schemeClr val="accent2">
                        <a:lumMod val="60000"/>
                        <a:lumOff val="40000"/>
                      </a:schemeClr>
                    </a:gs>
                    <a:gs pos="70000">
                      <a:schemeClr val="accent2"/>
                    </a:gs>
                  </a:gsLst>
                  <a:lin ang="5400000" scaled="1"/>
                </a:gradFill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  <a:sp3d contourW="76200"/>
            </c:spPr>
          </c:dPt>
          <c:dPt>
            <c:idx val="2"/>
            <c:bubble3D val="0"/>
            <c:spPr>
              <a:gradFill>
                <a:gsLst>
                  <a:gs pos="70000">
                    <a:schemeClr val="accent3"/>
                  </a:gs>
                  <a:gs pos="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88900">
                <a:noFill/>
                <a:miter lim="800000"/>
              </a:ln>
              <a:effectLst>
                <a:outerShdw blurRad="63500" sx="102000" sy="102000" algn="ctr" rotWithShape="0">
                  <a:prstClr val="black">
                    <a:alpha val="25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baseline="0">
                    <a:solidFill>
                      <a:srgbClr val="FF0000"/>
                    </a:solidFill>
                    <a:latin typeface="华文中宋" panose="02010600040101010101" charset="-122"/>
                    <a:ea typeface="华文中宋" panose="02010600040101010101" charset="-122"/>
                    <a:cs typeface="华文中宋" panose="02010600040101010101" charset="-122"/>
                    <a:sym typeface="华文中宋" panose="02010600040101010101" charset="-122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[工作簿1]Sheet1!$A$2:$A$4</c:f>
              <c:strCache>
                <c:ptCount val="3"/>
                <c:pt idx="0">
                  <c:v>镇街文件</c:v>
                </c:pt>
                <c:pt idx="1">
                  <c:v>政务动态</c:v>
                </c:pt>
                <c:pt idx="2">
                  <c:v>街道文件</c:v>
                </c:pt>
              </c:strCache>
            </c:strRef>
          </c:cat>
          <c:val>
            <c:numRef>
              <c:f>[工作簿1]Sheet1!$B$2:$B$4</c:f>
              <c:numCache>
                <c:formatCode>General</c:formatCode>
                <c:ptCount val="3"/>
                <c:pt idx="0">
                  <c:v>3</c:v>
                </c:pt>
                <c:pt idx="1">
                  <c:v>30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FF0000"/>
                </a:solidFill>
                <a:latin typeface="华文中宋" panose="02010600040101010101" charset="-122"/>
                <a:ea typeface="华文中宋" panose="02010600040101010101" charset="-122"/>
                <a:cs typeface="华文中宋" panose="02010600040101010101" charset="-122"/>
                <a:sym typeface="华文中宋" panose="0201060004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FF0000"/>
                </a:solidFill>
                <a:latin typeface="华文中宋" panose="02010600040101010101" charset="-122"/>
                <a:ea typeface="华文中宋" panose="02010600040101010101" charset="-122"/>
                <a:cs typeface="华文中宋" panose="02010600040101010101" charset="-122"/>
                <a:sym typeface="华文中宋" panose="02010600040101010101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rgbClr val="FF0000"/>
                </a:solidFill>
                <a:latin typeface="华文中宋" panose="02010600040101010101" charset="-122"/>
                <a:ea typeface="华文中宋" panose="02010600040101010101" charset="-122"/>
                <a:cs typeface="华文中宋" panose="02010600040101010101" charset="-122"/>
                <a:sym typeface="华文中宋" panose="0201060004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rgbClr val="FF0000"/>
              </a:solidFill>
              <a:latin typeface="华文中宋" panose="02010600040101010101" charset="-122"/>
              <a:ea typeface="华文中宋" panose="02010600040101010101" charset="-122"/>
              <a:cs typeface="华文中宋" panose="02010600040101010101" charset="-122"/>
              <a:sym typeface="华文中宋" panose="0201060004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 sz="1100">
          <a:solidFill>
            <a:srgbClr val="FF0000"/>
          </a:solidFill>
          <a:latin typeface="华文中宋" panose="02010600040101010101" charset="-122"/>
          <a:ea typeface="华文中宋" panose="02010600040101010101" charset="-122"/>
          <a:cs typeface="华文中宋" panose="02010600040101010101" charset="-122"/>
          <a:sym typeface="华文中宋" panose="0201060004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2">
    <a:dk1>
      <a:srgbClr val="000000"/>
    </a:dk1>
    <a:lt1>
      <a:srgbClr val="FFFFFF"/>
    </a:lt1>
    <a:dk2>
      <a:srgbClr val="0C0E1F"/>
    </a:dk2>
    <a:lt2>
      <a:srgbClr val="FEFFFF"/>
    </a:lt2>
    <a:accent1>
      <a:srgbClr val="4F81FF"/>
    </a:accent1>
    <a:accent2>
      <a:srgbClr val="16CC8A"/>
    </a:accent2>
    <a:accent3>
      <a:srgbClr val="83D8FF"/>
    </a:accent3>
    <a:accent4>
      <a:srgbClr val="646BFE"/>
    </a:accent4>
    <a:accent5>
      <a:srgbClr val="F64699"/>
    </a:accent5>
    <a:accent6>
      <a:srgbClr val="FFC619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2024-01-11T07:52:00Z</dcterms:created>
  <dc:creator>me</dc:creator>
  <cp:lastModifiedBy>me</cp:lastModifiedBy>
  <cp:lastPrinted>2024-01-17T06:39:00Z</cp:lastPrinted>
  <dcterms:modified xsi:type="dcterms:W3CDTF">2024-03-01T03:33:02Z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F8419FFABEC3489AA45FA9B9DD498170_11</vt:lpwstr>
  </property>
</Properties>
</file>