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7" w:rsidRPr="002A1031" w:rsidRDefault="004D17B7" w:rsidP="004D17B7">
      <w:pPr>
        <w:spacing w:line="590" w:lineRule="exact"/>
        <w:ind w:rightChars="-50" w:right="-105"/>
        <w:jc w:val="center"/>
        <w:rPr>
          <w:rFonts w:ascii="方正小标宋简体" w:eastAsia="方正小标宋简体" w:hAnsi="仿宋" w:cs="Times New Roman"/>
          <w:b/>
          <w:color w:val="000000" w:themeColor="text1"/>
          <w:kern w:val="0"/>
          <w:sz w:val="44"/>
          <w:szCs w:val="44"/>
        </w:rPr>
      </w:pPr>
      <w:r w:rsidRPr="002A1031">
        <w:rPr>
          <w:rFonts w:ascii="方正小标宋简体" w:eastAsia="方正小标宋简体" w:hAnsi="仿宋" w:cs="Times New Roman" w:hint="eastAsia"/>
          <w:b/>
          <w:color w:val="000000" w:themeColor="text1"/>
          <w:kern w:val="0"/>
          <w:sz w:val="44"/>
          <w:szCs w:val="44"/>
        </w:rPr>
        <w:t>嘉祥县市场监督管理局</w:t>
      </w:r>
    </w:p>
    <w:p w:rsidR="004D17B7" w:rsidRPr="002A1031" w:rsidRDefault="004D17B7" w:rsidP="004D17B7">
      <w:pPr>
        <w:spacing w:line="590" w:lineRule="exact"/>
        <w:ind w:rightChars="-50" w:right="-105"/>
        <w:jc w:val="center"/>
        <w:rPr>
          <w:rFonts w:ascii="方正小标宋简体" w:eastAsia="方正小标宋简体" w:hAnsi="仿宋" w:cs="Times New Roman"/>
          <w:b/>
          <w:color w:val="000000" w:themeColor="text1"/>
          <w:kern w:val="0"/>
          <w:sz w:val="44"/>
          <w:szCs w:val="44"/>
        </w:rPr>
      </w:pPr>
      <w:r w:rsidRPr="002A1031">
        <w:rPr>
          <w:rFonts w:ascii="方正小标宋简体" w:eastAsia="方正小标宋简体" w:hAnsi="仿宋" w:cs="Times New Roman" w:hint="eastAsia"/>
          <w:b/>
          <w:color w:val="000000" w:themeColor="text1"/>
          <w:kern w:val="0"/>
          <w:sz w:val="44"/>
          <w:szCs w:val="44"/>
        </w:rPr>
        <w:t>2022年政府信息公开工作年度报告</w:t>
      </w:r>
    </w:p>
    <w:p w:rsidR="004D17B7" w:rsidRPr="00442630" w:rsidRDefault="004D17B7" w:rsidP="0082184F">
      <w:pPr>
        <w:spacing w:line="590" w:lineRule="exact"/>
        <w:ind w:rightChars="-50" w:right="-105"/>
        <w:jc w:val="center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 xml:space="preserve"> 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本报告由嘉祥县市场监督管理局按照《中华人民共和国政府信息公开条例》（以下简称《条例》）和《中华人民共和国政府信息公开工作年度报告格式》（国办公开办函〔2021〕30号）要求编制。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4D17B7" w:rsidRPr="00442630" w:rsidRDefault="004D17B7" w:rsidP="002A1031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本报告所列数据的统计期限自2022年1月1日起至2022年12月31日止。本报告电子版可在</w:t>
      </w:r>
      <w:r w:rsidR="002A1031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嘉祥县人民政府网站</w:t>
      </w: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（</w:t>
      </w:r>
      <w:r w:rsidR="00866365" w:rsidRPr="00442630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>http://www.jiaxiang.gov.cn/</w:t>
      </w: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）查阅或下载。如对本报告有疑问，请与</w:t>
      </w:r>
      <w:r w:rsidR="00866365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嘉祥县市场监督管理局</w:t>
      </w: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联系（地址：</w:t>
      </w:r>
      <w:r w:rsidR="00866365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嘉祥县</w:t>
      </w:r>
      <w:proofErr w:type="gramStart"/>
      <w:r w:rsidR="00866365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兖</w:t>
      </w:r>
      <w:proofErr w:type="gramEnd"/>
      <w:r w:rsidR="00866365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兰中街137号</w:t>
      </w: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，联系电话：0537-</w:t>
      </w:r>
      <w:r w:rsidR="00866365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6986186</w:t>
      </w: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黑体" w:eastAsia="黑体" w:hAnsi="黑体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黑体" w:eastAsia="黑体" w:hAnsi="黑体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:rsidR="00866365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2022年，嘉祥县市场监督管理局在县委、县政府的正确领导下，我局认真贯彻落实《中华人民共和国政府信息公开条例》文件精神，政府信息公开工作有序开展，依法保障群众知情权、参与权和监督权。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（一）主动公开情况</w:t>
      </w:r>
    </w:p>
    <w:p w:rsidR="00D5071F" w:rsidRPr="00697874" w:rsidRDefault="00866365" w:rsidP="00697874">
      <w:pPr>
        <w:spacing w:line="480" w:lineRule="auto"/>
        <w:ind w:rightChars="-50" w:right="-105" w:firstLineChars="200" w:firstLine="643"/>
        <w:rPr>
          <w:rFonts w:ascii="仿宋" w:eastAsia="仿宋" w:hAnsi="仿宋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2022 年，县市场监管局积极贯彻落实《政府信息公开条</w:t>
      </w:r>
      <w:r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例》关于主动公开有关规定，主动公开对涉及公众利益调整、需要公众广泛知晓或者需要公众参与决策的政府信息</w:t>
      </w:r>
      <w:r w:rsidR="000D5427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，尤其是在食品药品监管方面，对执法依据、执法结果及典型案例进行公示</w:t>
      </w:r>
      <w:r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。主要通过县政府信息公开网站、微信公众号等形式公开，另以报刊、广播、电视等其他辅助方式公开，为公众了解信息提供便利。截至目前，通过官方门户网站共主动公开政府信息 161 条，通过微信发布信息 258条。</w:t>
      </w:r>
      <w:bookmarkStart w:id="0" w:name="_GoBack"/>
      <w:bookmarkEnd w:id="0"/>
    </w:p>
    <w:p w:rsidR="00D5071F" w:rsidRDefault="00D5071F" w:rsidP="009F7020">
      <w:pPr>
        <w:spacing w:line="480" w:lineRule="auto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/>
          <w:b/>
          <w:noProof/>
          <w:color w:val="000000"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 wp14:anchorId="169047EB" wp14:editId="3823BADE">
            <wp:extent cx="3994030" cy="2820838"/>
            <wp:effectExtent l="0" t="0" r="26035" b="177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17B7" w:rsidRPr="00442630" w:rsidRDefault="004D17B7" w:rsidP="009F7020">
      <w:pPr>
        <w:spacing w:line="480" w:lineRule="auto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（二）依申请公开情况</w:t>
      </w:r>
    </w:p>
    <w:p w:rsidR="004D17B7" w:rsidRPr="00442630" w:rsidRDefault="00442630" w:rsidP="009F7020">
      <w:pPr>
        <w:spacing w:line="480" w:lineRule="auto"/>
        <w:ind w:rightChars="-50" w:right="-105" w:firstLineChars="200" w:firstLine="643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442630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县市场监管局</w:t>
      </w:r>
      <w:r w:rsidR="004D17B7" w:rsidRPr="00442630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认真贯彻落实县政府有关依申请公开政府信息文件精神，完善依申请公开目录，规范相关工作流程。</w:t>
      </w:r>
      <w:r w:rsidR="004D17B7"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2022</w:t>
      </w:r>
      <w:r w:rsidR="004D17B7" w:rsidRPr="00442630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年我局未收到公开政府信息申请。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:rsidR="00442630" w:rsidRPr="00442630" w:rsidRDefault="00866365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本年度，县市场监管局</w:t>
      </w:r>
      <w:r w:rsidR="00442630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始终坚持“依法公开、全面真实、有效监督、注重实效”的原则开展政务公开工作，</w:t>
      </w:r>
      <w:r w:rsidR="008E4B41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严格落实</w:t>
      </w:r>
      <w:r w:rsidR="008E4B41" w:rsidRPr="008E4B41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政府信息公开保密审查制度</w:t>
      </w:r>
      <w:r w:rsidR="008E4B41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，</w:t>
      </w:r>
      <w:r w:rsidR="00442630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做到上网内容符合国家法律法</w:t>
      </w:r>
      <w:r w:rsidR="00442630"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lastRenderedPageBreak/>
        <w:t>规，确保合法性、真实性、准确性、及时性。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:rsidR="00442630" w:rsidRPr="00442630" w:rsidRDefault="00442630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借助政府门户网站、</w:t>
      </w:r>
      <w:proofErr w:type="gramStart"/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微信公众号</w:t>
      </w:r>
      <w:proofErr w:type="gramEnd"/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、新闻媒体等媒介，围绕食品药品、特种设备、产品质量、知识产权、市场监管等领域，加大对先进典型、工作经验以及政策举措的宣传力度，常态</w:t>
      </w:r>
      <w:proofErr w:type="gramStart"/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化公开</w:t>
      </w:r>
      <w:proofErr w:type="gramEnd"/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食品药品监督检查、食品抽检、行政执法等信息，回应社会关切，</w:t>
      </w:r>
      <w:proofErr w:type="gramStart"/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及时维护</w:t>
      </w:r>
      <w:proofErr w:type="gramEnd"/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好人民群众切身利益。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:rsidR="00866365" w:rsidRPr="00442630" w:rsidRDefault="00866365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本年度，对县市场监管局政务公开领导小组成员进行调整，将政府信息公开工作责任进一步明确，明确政务公开专门负责机构，并对分管领导、主要负责人进行明确，抓实日常公开工作，保障了信息公开工作依法、及时、准确、有序地开展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黑体" w:eastAsia="黑体" w:hAnsi="黑体" w:cs="Times New Roman"/>
          <w:b/>
          <w:color w:val="000000" w:themeColor="text1"/>
          <w:kern w:val="0"/>
          <w:sz w:val="32"/>
          <w:szCs w:val="32"/>
        </w:rPr>
      </w:pPr>
      <w:r w:rsidRPr="00442630">
        <w:rPr>
          <w:rFonts w:ascii="黑体" w:eastAsia="黑体" w:hAnsi="黑体" w:cs="Times New Roman" w:hint="eastAsia"/>
          <w:b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1989"/>
      </w:tblGrid>
      <w:tr w:rsidR="004D17B7" w:rsidRPr="00442630" w:rsidTr="00442630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CA3DDB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28</w:t>
            </w:r>
            <w:r w:rsidR="004D17B7"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CA3DDB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8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 w:rsidR="004D17B7" w:rsidRPr="00442630" w:rsidTr="0044263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442630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0</w:t>
            </w:r>
          </w:p>
        </w:tc>
      </w:tr>
    </w:tbl>
    <w:p w:rsidR="004D17B7" w:rsidRPr="00442630" w:rsidRDefault="004D17B7" w:rsidP="00442630">
      <w:pPr>
        <w:spacing w:beforeLines="10" w:before="31" w:afterLines="10" w:after="31" w:line="600" w:lineRule="exact"/>
        <w:ind w:firstLineChars="200" w:firstLine="643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442630">
        <w:rPr>
          <w:rFonts w:ascii="黑体" w:eastAsia="黑体" w:hAnsi="黑体" w:cs="Times New Roman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4D17B7" w:rsidRPr="00442630" w:rsidTr="00E53DB4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楷体" w:hint="eastAsia"/>
                <w:b/>
                <w:kern w:val="0"/>
                <w:sz w:val="24"/>
                <w:lang w:bidi="ar"/>
              </w:rPr>
              <w:lastRenderedPageBreak/>
              <w:t>（本列数据的勾</w:t>
            </w:r>
            <w:proofErr w:type="gramStart"/>
            <w:r w:rsidRPr="00442630">
              <w:rPr>
                <w:rFonts w:ascii="仿宋" w:eastAsia="仿宋" w:hAnsi="仿宋" w:cs="楷体" w:hint="eastAsia"/>
                <w:b/>
                <w:kern w:val="0"/>
                <w:sz w:val="24"/>
                <w:lang w:bidi="ar"/>
              </w:rPr>
              <w:t>稽</w:t>
            </w:r>
            <w:proofErr w:type="gramEnd"/>
            <w:r w:rsidRPr="00442630">
              <w:rPr>
                <w:rFonts w:ascii="仿宋" w:eastAsia="仿宋" w:hAnsi="仿宋" w:cs="楷体" w:hint="eastAsia"/>
                <w:b/>
                <w:kern w:val="0"/>
                <w:sz w:val="24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申请人情况</w:t>
            </w:r>
          </w:p>
        </w:tc>
      </w:tr>
      <w:tr w:rsidR="004D17B7" w:rsidRPr="00442630" w:rsidTr="00E53DB4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总计</w:t>
            </w:r>
          </w:p>
        </w:tc>
      </w:tr>
      <w:tr w:rsidR="004D17B7" w:rsidRPr="00442630" w:rsidTr="00E53DB4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商业</w:t>
            </w:r>
          </w:p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科研</w:t>
            </w:r>
          </w:p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4D17B7" w:rsidRPr="00442630" w:rsidTr="00E53DB4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（二）部分公开</w:t>
            </w:r>
            <w:r w:rsidRPr="00442630">
              <w:rPr>
                <w:rFonts w:ascii="仿宋" w:eastAsia="仿宋" w:hAnsi="仿宋" w:cs="楷体" w:hint="eastAsia"/>
                <w:b/>
                <w:kern w:val="0"/>
                <w:sz w:val="24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3.危及“三安全</w:t>
            </w:r>
            <w:proofErr w:type="gramStart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一</w:t>
            </w:r>
            <w:proofErr w:type="gramEnd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2184F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2184F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（五）</w:t>
            </w:r>
            <w:proofErr w:type="gramStart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不予处理</w:t>
            </w:r>
            <w:proofErr w:type="gramEnd"/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866365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1.申请人无正当理由逾期</w:t>
            </w:r>
            <w:proofErr w:type="gramStart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不</w:t>
            </w:r>
            <w:proofErr w:type="gramEnd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补正、行政机关</w:t>
            </w:r>
            <w:proofErr w:type="gramStart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不</w:t>
            </w:r>
            <w:proofErr w:type="gramEnd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2.申请人逾期未按收费通知要求缴纳费用、行政机关</w:t>
            </w:r>
            <w:proofErr w:type="gramStart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不</w:t>
            </w:r>
            <w:proofErr w:type="gramEnd"/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</w:tr>
      <w:tr w:rsidR="004D17B7" w:rsidRPr="00442630" w:rsidTr="00E53DB4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4D17B7" w:rsidRPr="00442630" w:rsidTr="00E53DB4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Pr="00442630">
              <w:rPr>
                <w:rFonts w:ascii="仿宋" w:eastAsia="仿宋" w:hAnsi="仿宋" w:cs="Calibri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D17B7" w:rsidRPr="00442630" w:rsidRDefault="004D17B7" w:rsidP="00E53DB4">
            <w:pPr>
              <w:spacing w:line="300" w:lineRule="exac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0</w:t>
            </w:r>
          </w:p>
        </w:tc>
      </w:tr>
    </w:tbl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442630">
        <w:rPr>
          <w:rFonts w:ascii="黑体" w:eastAsia="黑体" w:hAnsi="黑体" w:cs="Times New Roman" w:hint="eastAsia"/>
          <w:b/>
          <w:kern w:val="0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4D17B7" w:rsidRPr="00442630" w:rsidTr="00E53DB4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行政诉讼</w:t>
            </w:r>
          </w:p>
        </w:tc>
      </w:tr>
      <w:tr w:rsidR="004D17B7" w:rsidRPr="00442630" w:rsidTr="00E53DB4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宋体"/>
                <w:b/>
                <w:kern w:val="0"/>
                <w:sz w:val="24"/>
                <w:lang w:bidi="ar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结果</w:t>
            </w:r>
          </w:p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其他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尚未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复议后起诉</w:t>
            </w:r>
          </w:p>
        </w:tc>
      </w:tr>
      <w:tr w:rsidR="004D17B7" w:rsidRPr="00442630" w:rsidTr="00E53DB4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40" w:lineRule="exact"/>
              <w:ind w:leftChars="-20" w:left="-42" w:rightChars="-20" w:right="-42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40" w:lineRule="exact"/>
              <w:ind w:leftChars="-20" w:left="-42" w:rightChars="-20" w:right="-42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40" w:lineRule="exact"/>
              <w:ind w:leftChars="-20" w:left="-42" w:rightChars="-20" w:right="-42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40" w:lineRule="exact"/>
              <w:ind w:leftChars="-20" w:left="-42" w:rightChars="-20" w:right="-42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spacing w:line="340" w:lineRule="exact"/>
              <w:ind w:leftChars="-20" w:left="-42" w:rightChars="-20" w:right="-42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结果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结果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其他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尚未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结果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结果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其他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尚未</w:t>
            </w: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br/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总计</w:t>
            </w:r>
          </w:p>
        </w:tc>
      </w:tr>
      <w:tr w:rsidR="004D17B7" w:rsidRPr="00442630" w:rsidTr="00E53DB4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4D17B7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  <w:r w:rsidR="00866365"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866365" w:rsidP="00E53DB4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黑体" w:hint="eastAsia"/>
                <w:b/>
                <w:kern w:val="0"/>
                <w:sz w:val="24"/>
                <w:lang w:bidi="ar"/>
              </w:rPr>
              <w:t>0</w:t>
            </w:r>
            <w:r w:rsidR="004D17B7" w:rsidRPr="00442630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17B7" w:rsidRPr="00442630" w:rsidRDefault="00866365" w:rsidP="00E53DB4">
            <w:pPr>
              <w:spacing w:line="340" w:lineRule="exact"/>
              <w:ind w:leftChars="-20" w:left="-42" w:rightChars="-20" w:right="-42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42630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0</w:t>
            </w:r>
          </w:p>
        </w:tc>
      </w:tr>
    </w:tbl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442630">
        <w:rPr>
          <w:rFonts w:ascii="黑体" w:eastAsia="黑体" w:hAnsi="黑体" w:cs="Times New Roman" w:hint="eastAsia"/>
          <w:b/>
          <w:kern w:val="0"/>
          <w:sz w:val="32"/>
          <w:szCs w:val="32"/>
        </w:rPr>
        <w:t>五、存在的主要问题及改进情况</w:t>
      </w:r>
    </w:p>
    <w:p w:rsidR="00866365" w:rsidRPr="00442630" w:rsidRDefault="00866365" w:rsidP="0082184F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442630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>存在的主要问题：一是由于工作任务重，信息公开有时不够及时不到位</w:t>
      </w:r>
      <w:r w:rsidR="0082184F" w:rsidRPr="00442630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>；</w:t>
      </w:r>
      <w:r w:rsidRPr="00442630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>二是</w:t>
      </w:r>
      <w:r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</w:rPr>
        <w:t>也存在对需公开哪些信息认识不够清晰、对信息公开审核不够规范等问题。</w:t>
      </w:r>
      <w:r w:rsidRPr="00442630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br/>
        <w:t xml:space="preserve">　　改进措施：一是</w:t>
      </w:r>
      <w:r w:rsidRPr="00442630">
        <w:rPr>
          <w:rFonts w:ascii="仿宋" w:eastAsia="仿宋" w:hAnsi="仿宋" w:hint="eastAsia"/>
          <w:b/>
          <w:color w:val="000000"/>
          <w:sz w:val="32"/>
          <w:szCs w:val="32"/>
          <w:bdr w:val="none" w:sz="0" w:space="0" w:color="auto" w:frame="1"/>
        </w:rPr>
        <w:t>高度重视，加强领导，形成了主要领导统筹安排、分管领导牵头负责、有关部门专人实施的工作格局；二是狠抓落实，加强宣传，要将信息公开重要性宣传到每位干部职工。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442630">
        <w:rPr>
          <w:rFonts w:ascii="黑体" w:eastAsia="黑体" w:hAnsi="黑体" w:cs="Times New Roman" w:hint="eastAsia"/>
          <w:b/>
          <w:kern w:val="0"/>
          <w:sz w:val="32"/>
          <w:szCs w:val="32"/>
        </w:rPr>
        <w:t>六、其他需要报告的事项</w:t>
      </w:r>
    </w:p>
    <w:p w:rsidR="0082184F" w:rsidRPr="00442630" w:rsidRDefault="0082184F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kern w:val="0"/>
          <w:sz w:val="32"/>
          <w:szCs w:val="32"/>
        </w:rPr>
        <w:t>（一）依据《政府信息公开信息处理费管理办法》，县市场监管局2022年没有收取信息处理费情况。</w:t>
      </w:r>
    </w:p>
    <w:p w:rsidR="0082184F" w:rsidRPr="00442630" w:rsidRDefault="0082184F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kern w:val="0"/>
          <w:sz w:val="32"/>
          <w:szCs w:val="32"/>
        </w:rPr>
        <w:t>（二）县市场监管局根据上级年度政务公开工作要点，及时对财政预决算、部门工作等内容进行了公开，并着重对食品药品监管、反不正当竞争等栏目进行政策发布、抽检公示、消费提示等。</w:t>
      </w:r>
    </w:p>
    <w:p w:rsidR="00332D85" w:rsidRDefault="0082184F" w:rsidP="00332D85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442630">
        <w:rPr>
          <w:rFonts w:ascii="仿宋" w:eastAsia="仿宋" w:hAnsi="仿宋" w:cs="Times New Roman" w:hint="eastAsia"/>
          <w:b/>
          <w:kern w:val="0"/>
          <w:sz w:val="32"/>
          <w:szCs w:val="32"/>
        </w:rPr>
        <w:t>（三）本年度，我局共办理人大代表建议3件、政协委</w:t>
      </w:r>
      <w:r w:rsidRPr="00442630"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员提案7件，涉及到校园周边小吃和小卖部监管、为企业减负、知识产权保护、商标保护、学校食堂安全、过期食品监管等热点，目前已全部回复完毕并进行公示。</w:t>
      </w:r>
    </w:p>
    <w:p w:rsidR="00332D85" w:rsidRPr="00442630" w:rsidRDefault="00332D85" w:rsidP="00332D85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（四）本年度</w:t>
      </w:r>
      <w:r w:rsidRPr="00332D85">
        <w:rPr>
          <w:rFonts w:ascii="仿宋" w:eastAsia="仿宋" w:hAnsi="仿宋" w:cs="Times New Roman" w:hint="eastAsia"/>
          <w:b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我</w:t>
      </w:r>
      <w:r w:rsidRPr="00332D85">
        <w:rPr>
          <w:rFonts w:ascii="仿宋" w:eastAsia="仿宋" w:hAnsi="仿宋" w:cs="Times New Roman" w:hint="eastAsia"/>
          <w:b/>
          <w:kern w:val="0"/>
          <w:sz w:val="32"/>
          <w:szCs w:val="32"/>
        </w:rPr>
        <w:t>局依托政务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网站、政务</w:t>
      </w:r>
      <w:r w:rsidRPr="00332D85">
        <w:rPr>
          <w:rFonts w:ascii="仿宋" w:eastAsia="仿宋" w:hAnsi="仿宋" w:cs="Times New Roman" w:hint="eastAsia"/>
          <w:b/>
          <w:kern w:val="0"/>
          <w:sz w:val="32"/>
          <w:szCs w:val="32"/>
        </w:rPr>
        <w:t>新媒体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对政务公开工作进行创新</w:t>
      </w:r>
      <w:r w:rsidRPr="00332D85">
        <w:rPr>
          <w:rFonts w:ascii="仿宋" w:eastAsia="仿宋" w:hAnsi="仿宋" w:cs="Times New Roman" w:hint="eastAsia"/>
          <w:b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一是</w:t>
      </w:r>
      <w:r w:rsidRPr="00332D85">
        <w:rPr>
          <w:rFonts w:ascii="仿宋" w:eastAsia="仿宋" w:hAnsi="仿宋" w:cs="Times New Roman" w:hint="eastAsia"/>
          <w:b/>
          <w:kern w:val="0"/>
          <w:sz w:val="32"/>
          <w:szCs w:val="32"/>
        </w:rPr>
        <w:t>连续三年发布“你点我检”调查问卷，征集群众关心的食品抽检问题，制定并公示年度食品安全抽检计划、抽检结果和食品安全典型案例，将食品安全监管全环节、全流程向群众公开；二是对中高考食品安全、成人教育培训、防疫用品价格等热点问题快速反应，及时发布消费提示和相关检查结果，第一时间回应网民关切，保障消费者合法权益；三是探索以案释法、情景模拟等宣传方式，利用群众喜闻乐见的方式再现品牌建设、安全乘坐电梯、年报公示等知识，手把手教方法、讲技巧，把市场监管法律和知识潜移默化地传递给更多群众。</w:t>
      </w:r>
    </w:p>
    <w:p w:rsidR="004D17B7" w:rsidRPr="00442630" w:rsidRDefault="004D17B7" w:rsidP="00442630">
      <w:pPr>
        <w:spacing w:line="590" w:lineRule="exact"/>
        <w:ind w:rightChars="-50" w:right="-105"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E53DB4" w:rsidRPr="00442630" w:rsidRDefault="00E53DB4">
      <w:pPr>
        <w:rPr>
          <w:rFonts w:ascii="仿宋" w:eastAsia="仿宋" w:hAnsi="仿宋"/>
          <w:sz w:val="32"/>
          <w:szCs w:val="32"/>
        </w:rPr>
      </w:pPr>
    </w:p>
    <w:p w:rsidR="00E53DB4" w:rsidRPr="00442630" w:rsidRDefault="00E53DB4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53DB4" w:rsidRPr="0044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C8" w:rsidRDefault="009225C8" w:rsidP="004D17B7">
      <w:r>
        <w:separator/>
      </w:r>
    </w:p>
  </w:endnote>
  <w:endnote w:type="continuationSeparator" w:id="0">
    <w:p w:rsidR="009225C8" w:rsidRDefault="009225C8" w:rsidP="004D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C8" w:rsidRDefault="009225C8" w:rsidP="004D17B7">
      <w:r>
        <w:separator/>
      </w:r>
    </w:p>
  </w:footnote>
  <w:footnote w:type="continuationSeparator" w:id="0">
    <w:p w:rsidR="009225C8" w:rsidRDefault="009225C8" w:rsidP="004D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61"/>
    <w:rsid w:val="00047596"/>
    <w:rsid w:val="000B160B"/>
    <w:rsid w:val="000B76FF"/>
    <w:rsid w:val="000D5427"/>
    <w:rsid w:val="002A1031"/>
    <w:rsid w:val="00332D85"/>
    <w:rsid w:val="003904AB"/>
    <w:rsid w:val="003C659D"/>
    <w:rsid w:val="00442630"/>
    <w:rsid w:val="004D17B7"/>
    <w:rsid w:val="004E5AEB"/>
    <w:rsid w:val="00697874"/>
    <w:rsid w:val="007053F8"/>
    <w:rsid w:val="0082184F"/>
    <w:rsid w:val="00866365"/>
    <w:rsid w:val="008E4B41"/>
    <w:rsid w:val="008F17E7"/>
    <w:rsid w:val="009039C1"/>
    <w:rsid w:val="00912297"/>
    <w:rsid w:val="009225C8"/>
    <w:rsid w:val="009F7020"/>
    <w:rsid w:val="00A31351"/>
    <w:rsid w:val="00A53232"/>
    <w:rsid w:val="00C40D74"/>
    <w:rsid w:val="00CA3DDB"/>
    <w:rsid w:val="00D5071F"/>
    <w:rsid w:val="00E53DB4"/>
    <w:rsid w:val="00E76861"/>
    <w:rsid w:val="00F43E3C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7B7"/>
    <w:rPr>
      <w:sz w:val="18"/>
      <w:szCs w:val="18"/>
    </w:rPr>
  </w:style>
  <w:style w:type="paragraph" w:styleId="a5">
    <w:name w:val="Normal (Web)"/>
    <w:basedOn w:val="a"/>
    <w:unhideWhenUsed/>
    <w:qFormat/>
    <w:rsid w:val="00866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qFormat/>
    <w:rsid w:val="00E53DB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507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07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7B7"/>
    <w:rPr>
      <w:sz w:val="18"/>
      <w:szCs w:val="18"/>
    </w:rPr>
  </w:style>
  <w:style w:type="paragraph" w:styleId="a5">
    <w:name w:val="Normal (Web)"/>
    <w:basedOn w:val="a"/>
    <w:unhideWhenUsed/>
    <w:qFormat/>
    <w:rsid w:val="00866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qFormat/>
    <w:rsid w:val="00E53DB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507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0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政府信息公开情况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199828982369259"/>
          <c:y val="0.17915376676986583"/>
          <c:w val="0.45320969222721902"/>
          <c:h val="0.7756613619168536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监督检查情况</c:v>
                </c:pt>
                <c:pt idx="1">
                  <c:v>政府文件及政策发布</c:v>
                </c:pt>
                <c:pt idx="2">
                  <c:v>政务信息</c:v>
                </c:pt>
                <c:pt idx="3">
                  <c:v>消费警示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492</Words>
  <Characters>2807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2023-02-06T01:13:00Z</dcterms:created>
  <dcterms:modified xsi:type="dcterms:W3CDTF">2023-02-07T00:35:00Z</dcterms:modified>
</cp:coreProperties>
</file>