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嘉祥县文化和旅游局</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2023年政府信息公开工作年度报告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4"/>
          <w:szCs w:val="24"/>
          <w:shd w:val="clear" w:fill="FFFFFF"/>
        </w:rPr>
      </w:pPr>
    </w:p>
    <w:p>
      <w:pPr>
        <w:spacing w:line="590" w:lineRule="exact"/>
        <w:ind w:right="-105"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嘉祥县文化和旅游局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w:t>
      </w:r>
      <w:r>
        <w:rPr>
          <w:rFonts w:hint="eastAsia" w:ascii="方正仿宋简体" w:eastAsia="方正仿宋简体"/>
          <w:b/>
          <w:color w:val="000000" w:themeColor="text1"/>
          <w:sz w:val="32"/>
          <w:szCs w:val="32"/>
          <w:lang w:eastAsia="zh-CN"/>
          <w14:textFill>
            <w14:solidFill>
              <w14:schemeClr w14:val="tx1"/>
            </w14:solidFill>
          </w14:textFill>
        </w:rPr>
        <w:t>2022</w:t>
      </w:r>
      <w:r>
        <w:rPr>
          <w:rFonts w:hint="eastAsia" w:ascii="方正仿宋简体" w:eastAsia="方正仿宋简体"/>
          <w:b/>
          <w:color w:val="000000" w:themeColor="text1"/>
          <w:sz w:val="32"/>
          <w:szCs w:val="32"/>
          <w14:textFill>
            <w14:solidFill>
              <w14:schemeClr w14:val="tx1"/>
            </w14:solidFill>
          </w14:textFill>
        </w:rPr>
        <w:t>〕30号）要求编制。</w:t>
      </w:r>
    </w:p>
    <w:p>
      <w:pPr>
        <w:spacing w:line="590" w:lineRule="exact"/>
        <w:ind w:right="-105"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w:t>
      </w:r>
      <w:r>
        <w:rPr>
          <w:rFonts w:hint="eastAsia" w:ascii="方正仿宋简体" w:eastAsia="方正仿宋简体"/>
          <w:b/>
          <w:color w:val="000000" w:themeColor="text1"/>
          <w:sz w:val="32"/>
          <w:szCs w:val="32"/>
          <w:lang w:eastAsia="zh-CN"/>
          <w14:textFill>
            <w14:solidFill>
              <w14:schemeClr w14:val="tx1"/>
            </w14:solidFill>
          </w14:textFill>
        </w:rPr>
        <w:t>2023年</w:t>
      </w:r>
      <w:r>
        <w:rPr>
          <w:rFonts w:hint="eastAsia" w:ascii="方正仿宋简体" w:eastAsia="方正仿宋简体"/>
          <w:b/>
          <w:color w:val="000000" w:themeColor="text1"/>
          <w:sz w:val="32"/>
          <w:szCs w:val="32"/>
          <w14:textFill>
            <w14:solidFill>
              <w14:schemeClr w14:val="tx1"/>
            </w14:solidFill>
          </w14:textFill>
        </w:rPr>
        <w:t>1月1日起至</w:t>
      </w:r>
      <w:r>
        <w:rPr>
          <w:rFonts w:hint="eastAsia" w:ascii="方正仿宋简体" w:eastAsia="方正仿宋简体"/>
          <w:b/>
          <w:color w:val="000000" w:themeColor="text1"/>
          <w:sz w:val="32"/>
          <w:szCs w:val="32"/>
          <w:lang w:eastAsia="zh-CN"/>
          <w14:textFill>
            <w14:solidFill>
              <w14:schemeClr w14:val="tx1"/>
            </w14:solidFill>
          </w14:textFill>
        </w:rPr>
        <w:t>2023年</w:t>
      </w:r>
      <w:r>
        <w:rPr>
          <w:rFonts w:hint="eastAsia" w:ascii="方正仿宋简体" w:eastAsia="方正仿宋简体"/>
          <w:b/>
          <w:color w:val="000000" w:themeColor="text1"/>
          <w:sz w:val="32"/>
          <w:szCs w:val="32"/>
          <w14:textFill>
            <w14:solidFill>
              <w14:schemeClr w14:val="tx1"/>
            </w14:solidFill>
          </w14:textFill>
        </w:rPr>
        <w:t>12月31日止。本报告电子版可在“中国·</w:t>
      </w:r>
      <w:r>
        <w:rPr>
          <w:rFonts w:hint="eastAsia" w:ascii="方正仿宋简体" w:eastAsia="方正仿宋简体"/>
          <w:b/>
          <w:color w:val="000000" w:themeColor="text1"/>
          <w:sz w:val="32"/>
          <w:szCs w:val="32"/>
          <w:lang w:eastAsia="zh-CN"/>
          <w14:textFill>
            <w14:solidFill>
              <w14:schemeClr w14:val="tx1"/>
            </w14:solidFill>
          </w14:textFill>
        </w:rPr>
        <w:t>嘉祥</w:t>
      </w:r>
      <w:r>
        <w:rPr>
          <w:rFonts w:hint="eastAsia" w:ascii="方正仿宋简体" w:eastAsia="方正仿宋简体"/>
          <w:b/>
          <w:color w:val="000000" w:themeColor="text1"/>
          <w:sz w:val="32"/>
          <w:szCs w:val="32"/>
          <w14:textFill>
            <w14:solidFill>
              <w14:schemeClr w14:val="tx1"/>
            </w14:solidFill>
          </w14:textFill>
        </w:rPr>
        <w:t>”政府门户网站（www.jiaxiang.gov.cn）查阅或下载。如对本报告有疑问，请与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嘉祥县文化和旅游局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eastAsia="zh-CN"/>
          <w14:textFill>
            <w14:solidFill>
              <w14:schemeClr w14:val="tx1"/>
            </w14:solidFill>
          </w14:textFill>
        </w:rPr>
        <w:t>山东</w:t>
      </w:r>
      <w:r>
        <w:rPr>
          <w:rFonts w:hint="eastAsia" w:ascii="方正仿宋简体" w:eastAsia="方正仿宋简体"/>
          <w:b/>
          <w:color w:val="000000" w:themeColor="text1"/>
          <w:sz w:val="32"/>
          <w:szCs w:val="32"/>
          <w14:textFill>
            <w14:solidFill>
              <w14:schemeClr w14:val="tx1"/>
            </w14:solidFill>
          </w14:textFill>
        </w:rPr>
        <w:t>省</w:t>
      </w:r>
      <w:r>
        <w:rPr>
          <w:rFonts w:hint="eastAsia" w:ascii="方正仿宋简体" w:eastAsia="方正仿宋简体"/>
          <w:b/>
          <w:color w:val="000000" w:themeColor="text1"/>
          <w:sz w:val="32"/>
          <w:szCs w:val="32"/>
          <w:lang w:eastAsia="zh-CN"/>
          <w14:textFill>
            <w14:solidFill>
              <w14:schemeClr w14:val="tx1"/>
            </w14:solidFill>
          </w14:textFill>
        </w:rPr>
        <w:t>济宁</w:t>
      </w:r>
      <w:r>
        <w:rPr>
          <w:rFonts w:hint="eastAsia" w:ascii="方正仿宋简体" w:eastAsia="方正仿宋简体"/>
          <w:b/>
          <w:color w:val="000000" w:themeColor="text1"/>
          <w:sz w:val="32"/>
          <w:szCs w:val="32"/>
          <w14:textFill>
            <w14:solidFill>
              <w14:schemeClr w14:val="tx1"/>
            </w14:solidFill>
          </w14:textFill>
        </w:rPr>
        <w:t>市</w:t>
      </w:r>
      <w:r>
        <w:rPr>
          <w:rFonts w:hint="eastAsia" w:ascii="方正仿宋简体" w:eastAsia="方正仿宋简体"/>
          <w:b/>
          <w:color w:val="000000" w:themeColor="text1"/>
          <w:sz w:val="32"/>
          <w:szCs w:val="32"/>
          <w:lang w:eastAsia="zh-CN"/>
          <w14:textFill>
            <w14:solidFill>
              <w14:schemeClr w14:val="tx1"/>
            </w14:solidFill>
          </w14:textFill>
        </w:rPr>
        <w:t>嘉祥</w:t>
      </w:r>
      <w:r>
        <w:rPr>
          <w:rFonts w:hint="eastAsia" w:ascii="方正仿宋简体" w:eastAsia="方正仿宋简体"/>
          <w:b/>
          <w:color w:val="000000" w:themeColor="text1"/>
          <w:sz w:val="32"/>
          <w:szCs w:val="32"/>
          <w14:textFill>
            <w14:solidFill>
              <w14:schemeClr w14:val="tx1"/>
            </w14:solidFill>
          </w14:textFill>
        </w:rPr>
        <w:t>县</w:t>
      </w:r>
      <w:r>
        <w:rPr>
          <w:rFonts w:hint="eastAsia" w:ascii="方正仿宋简体" w:eastAsia="方正仿宋简体"/>
          <w:b/>
          <w:color w:val="000000" w:themeColor="text1"/>
          <w:sz w:val="32"/>
          <w:szCs w:val="32"/>
          <w:lang w:eastAsia="zh-CN"/>
          <w14:textFill>
            <w14:solidFill>
              <w14:schemeClr w14:val="tx1"/>
            </w14:solidFill>
          </w14:textFill>
        </w:rPr>
        <w:t>为民服务中心</w:t>
      </w:r>
      <w:r>
        <w:rPr>
          <w:rFonts w:hint="eastAsia" w:ascii="方正仿宋简体" w:eastAsia="方正仿宋简体"/>
          <w:b/>
          <w:color w:val="000000" w:themeColor="text1"/>
          <w:sz w:val="32"/>
          <w:szCs w:val="32"/>
          <w:lang w:val="en-US" w:eastAsia="zh-CN"/>
          <w14:textFill>
            <w14:solidFill>
              <w14:schemeClr w14:val="tx1"/>
            </w14:solidFill>
          </w14:textFill>
        </w:rPr>
        <w:t>7楼</w:t>
      </w:r>
      <w:r>
        <w:rPr>
          <w:rFonts w:hint="eastAsia" w:ascii="方正仿宋简体" w:eastAsia="方正仿宋简体"/>
          <w:b/>
          <w:color w:val="000000" w:themeColor="text1"/>
          <w:sz w:val="32"/>
          <w:szCs w:val="32"/>
          <w14:textFill>
            <w14:solidFill>
              <w14:schemeClr w14:val="tx1"/>
            </w14:solidFill>
          </w14:textFill>
        </w:rPr>
        <w:t>，联系电话：</w:t>
      </w:r>
      <w:r>
        <w:rPr>
          <w:rFonts w:hint="eastAsia" w:ascii="方正仿宋简体" w:eastAsia="方正仿宋简体"/>
          <w:b/>
          <w:color w:val="000000" w:themeColor="text1"/>
          <w:sz w:val="32"/>
          <w:szCs w:val="32"/>
          <w:lang w:val="en-US" w:eastAsia="zh-CN"/>
          <w14:textFill>
            <w14:solidFill>
              <w14:schemeClr w14:val="tx1"/>
            </w14:solidFill>
          </w14:textFill>
        </w:rPr>
        <w:t>0537</w:t>
      </w: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6987703</w:t>
      </w:r>
      <w:r>
        <w:rPr>
          <w:rFonts w:hint="eastAsia" w:ascii="方正仿宋简体" w:eastAsia="方正仿宋简体"/>
          <w:b/>
          <w:color w:val="000000" w:themeColor="text1"/>
          <w:sz w:val="32"/>
          <w:szCs w:val="32"/>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t>一、总体情况</w:t>
      </w:r>
    </w:p>
    <w:p>
      <w:pPr>
        <w:spacing w:line="590" w:lineRule="exact"/>
        <w:ind w:right="-105"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2023年，嘉祥县文化和旅游局严格按照《政府信息公开条例》关于主动公开的有关规定，积极采取措施，加强组织领导、完善工作制度，推进政务公开工作，积极回应群众关切，完成</w:t>
      </w:r>
      <w:r>
        <w:rPr>
          <w:rFonts w:hint="eastAsia" w:ascii="方正仿宋简体" w:eastAsia="方正仿宋简体"/>
          <w:b/>
          <w:color w:val="000000" w:themeColor="text1"/>
          <w:sz w:val="32"/>
          <w:szCs w:val="32"/>
          <w:lang w:val="en-US" w:eastAsia="zh-CN"/>
          <w14:textFill>
            <w14:solidFill>
              <w14:schemeClr w14:val="tx1"/>
            </w14:solidFill>
          </w14:textFill>
        </w:rPr>
        <w:t>2023年</w:t>
      </w:r>
      <w:r>
        <w:rPr>
          <w:rFonts w:hint="eastAsia" w:ascii="方正仿宋简体" w:eastAsia="方正仿宋简体"/>
          <w:b/>
          <w:color w:val="000000" w:themeColor="text1"/>
          <w:sz w:val="32"/>
          <w:szCs w:val="32"/>
          <w:lang w:eastAsia="zh-CN"/>
          <w14:textFill>
            <w14:solidFill>
              <w14:schemeClr w14:val="tx1"/>
            </w14:solidFill>
          </w14:textFill>
        </w:rPr>
        <w:t>政府信息公开工作各项任务，保障信息公开工作依法、及时、准确、有序开展。</w:t>
      </w: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w:t>
      </w: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t>情况</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嘉祥县文化和旅游局借助政府门户网站、微信公众号、新闻媒体等媒介，积极围绕我县文旅领域的社会热点、群众关切，主动公开相关信息。2023年</w:t>
      </w:r>
      <w:r>
        <w:rPr>
          <w:rFonts w:hint="eastAsia" w:ascii="方正仿宋简体" w:eastAsia="方正仿宋简体"/>
          <w:b/>
          <w:color w:val="000000" w:themeColor="text1"/>
          <w:sz w:val="32"/>
          <w:szCs w:val="32"/>
          <w:lang w:eastAsia="zh-CN"/>
          <w14:textFill>
            <w14:solidFill>
              <w14:schemeClr w14:val="tx1"/>
            </w14:solidFill>
          </w14:textFill>
        </w:rPr>
        <w:t>通过政府信息公开目录管理系统和政务新媒体账号主动公开信息</w:t>
      </w:r>
      <w:r>
        <w:rPr>
          <w:rFonts w:hint="eastAsia" w:ascii="方正仿宋简体" w:eastAsia="方正仿宋简体"/>
          <w:b/>
          <w:color w:val="000000" w:themeColor="text1"/>
          <w:sz w:val="32"/>
          <w:szCs w:val="32"/>
          <w:lang w:val="en-US" w:eastAsia="zh-CN"/>
          <w14:textFill>
            <w14:solidFill>
              <w14:schemeClr w14:val="tx1"/>
            </w14:solidFill>
          </w14:textFill>
        </w:rPr>
        <w:t>639</w:t>
      </w:r>
      <w:r>
        <w:rPr>
          <w:rFonts w:hint="eastAsia" w:ascii="方正仿宋简体" w:eastAsia="方正仿宋简体"/>
          <w:b/>
          <w:color w:val="000000" w:themeColor="text1"/>
          <w:sz w:val="32"/>
          <w:szCs w:val="32"/>
          <w:lang w:eastAsia="zh-CN"/>
          <w14:textFill>
            <w14:solidFill>
              <w14:schemeClr w14:val="tx1"/>
            </w14:solidFill>
          </w14:textFill>
        </w:rPr>
        <w:t>条，通过政府信息公开目录管理系统发布信息</w:t>
      </w:r>
      <w:r>
        <w:rPr>
          <w:rFonts w:hint="eastAsia" w:ascii="方正仿宋简体" w:eastAsia="方正仿宋简体"/>
          <w:b/>
          <w:color w:val="000000" w:themeColor="text1"/>
          <w:sz w:val="32"/>
          <w:szCs w:val="32"/>
          <w:lang w:val="en-US" w:eastAsia="zh-CN"/>
          <w14:textFill>
            <w14:solidFill>
              <w14:schemeClr w14:val="tx1"/>
            </w14:solidFill>
          </w14:textFill>
        </w:rPr>
        <w:t>88</w:t>
      </w:r>
      <w:r>
        <w:rPr>
          <w:rFonts w:hint="eastAsia" w:ascii="方正仿宋简体" w:eastAsia="方正仿宋简体"/>
          <w:b/>
          <w:color w:val="000000" w:themeColor="text1"/>
          <w:sz w:val="32"/>
          <w:szCs w:val="32"/>
          <w:lang w:eastAsia="zh-CN"/>
          <w14:textFill>
            <w14:solidFill>
              <w14:schemeClr w14:val="tx1"/>
            </w14:solidFill>
          </w14:textFill>
        </w:rPr>
        <w:t>条</w:t>
      </w:r>
      <w:r>
        <w:rPr>
          <w:rFonts w:hint="eastAsia" w:ascii="方正仿宋简体" w:eastAsia="方正仿宋简体"/>
          <w:b/>
          <w:color w:val="000000" w:themeColor="text1"/>
          <w:sz w:val="32"/>
          <w:szCs w:val="32"/>
          <w:lang w:val="en-US" w:eastAsia="zh-CN"/>
          <w14:textFill>
            <w14:solidFill>
              <w14:schemeClr w14:val="tx1"/>
            </w14:solidFill>
          </w14:textFill>
        </w:rPr>
        <w:t>同比于2022年的166</w:t>
      </w:r>
      <w:r>
        <w:rPr>
          <w:rFonts w:hint="eastAsia" w:ascii="方正仿宋简体" w:eastAsia="方正仿宋简体"/>
          <w:b/>
          <w:color w:val="000000" w:themeColor="text1"/>
          <w:sz w:val="32"/>
          <w:szCs w:val="32"/>
          <w:lang w:eastAsia="zh-CN"/>
          <w14:textFill>
            <w14:solidFill>
              <w14:schemeClr w14:val="tx1"/>
            </w14:solidFill>
          </w14:textFill>
        </w:rPr>
        <w:t>条减少</w:t>
      </w:r>
      <w:r>
        <w:rPr>
          <w:rFonts w:hint="eastAsia" w:ascii="方正仿宋简体" w:eastAsia="方正仿宋简体"/>
          <w:b/>
          <w:color w:val="000000" w:themeColor="text1"/>
          <w:sz w:val="32"/>
          <w:szCs w:val="32"/>
          <w:lang w:val="en-US" w:eastAsia="zh-CN"/>
          <w14:textFill>
            <w14:solidFill>
              <w14:schemeClr w14:val="tx1"/>
            </w14:solidFill>
          </w14:textFill>
        </w:rPr>
        <w:t>45％</w:t>
      </w:r>
      <w:r>
        <w:rPr>
          <w:rFonts w:hint="eastAsia" w:ascii="方正仿宋简体" w:eastAsia="方正仿宋简体"/>
          <w:b/>
          <w:color w:val="000000" w:themeColor="text1"/>
          <w:sz w:val="32"/>
          <w:szCs w:val="32"/>
          <w:lang w:eastAsia="zh-CN"/>
          <w14:textFill>
            <w14:solidFill>
              <w14:schemeClr w14:val="tx1"/>
            </w14:solidFill>
          </w14:textFill>
        </w:rPr>
        <w:t>，通过政务新媒体账号公开信息</w:t>
      </w:r>
      <w:r>
        <w:rPr>
          <w:rFonts w:hint="eastAsia" w:ascii="方正仿宋简体" w:eastAsia="方正仿宋简体"/>
          <w:b/>
          <w:color w:val="000000" w:themeColor="text1"/>
          <w:sz w:val="32"/>
          <w:szCs w:val="32"/>
          <w:lang w:val="en-US" w:eastAsia="zh-CN"/>
          <w14:textFill>
            <w14:solidFill>
              <w14:schemeClr w14:val="tx1"/>
            </w14:solidFill>
          </w14:textFill>
        </w:rPr>
        <w:t>551</w:t>
      </w:r>
      <w:r>
        <w:rPr>
          <w:rFonts w:hint="eastAsia" w:ascii="方正仿宋简体" w:eastAsia="方正仿宋简体"/>
          <w:b/>
          <w:color w:val="000000" w:themeColor="text1"/>
          <w:sz w:val="32"/>
          <w:szCs w:val="32"/>
          <w:lang w:eastAsia="zh-CN"/>
          <w14:textFill>
            <w14:solidFill>
              <w14:schemeClr w14:val="tx1"/>
            </w14:solidFill>
          </w14:textFill>
        </w:rPr>
        <w:t>条</w:t>
      </w:r>
      <w:r>
        <w:rPr>
          <w:rFonts w:hint="eastAsia" w:ascii="方正仿宋简体" w:eastAsia="方正仿宋简体"/>
          <w:b/>
          <w:color w:val="000000" w:themeColor="text1"/>
          <w:sz w:val="32"/>
          <w:szCs w:val="32"/>
          <w:lang w:val="en-US" w:eastAsia="zh-CN"/>
          <w14:textFill>
            <w14:solidFill>
              <w14:schemeClr w14:val="tx1"/>
            </w14:solidFill>
          </w14:textFill>
        </w:rPr>
        <w:t>同比于2022年的367</w:t>
      </w:r>
      <w:r>
        <w:rPr>
          <w:rFonts w:hint="eastAsia" w:ascii="方正仿宋简体" w:eastAsia="方正仿宋简体"/>
          <w:b/>
          <w:color w:val="000000" w:themeColor="text1"/>
          <w:sz w:val="32"/>
          <w:szCs w:val="32"/>
          <w:lang w:eastAsia="zh-CN"/>
          <w14:textFill>
            <w14:solidFill>
              <w14:schemeClr w14:val="tx1"/>
            </w14:solidFill>
          </w14:textFill>
        </w:rPr>
        <w:t>条增长</w:t>
      </w:r>
      <w:r>
        <w:rPr>
          <w:rFonts w:hint="eastAsia" w:ascii="方正仿宋简体" w:eastAsia="方正仿宋简体"/>
          <w:b/>
          <w:color w:val="000000" w:themeColor="text1"/>
          <w:sz w:val="32"/>
          <w:szCs w:val="32"/>
          <w:lang w:val="en-US" w:eastAsia="zh-CN"/>
          <w14:textFill>
            <w14:solidFill>
              <w14:schemeClr w14:val="tx1"/>
            </w14:solidFill>
          </w14:textFill>
        </w:rPr>
        <w:t>33％</w:t>
      </w:r>
      <w:r>
        <w:rPr>
          <w:rFonts w:hint="eastAsia" w:ascii="方正仿宋简体" w:eastAsia="方正仿宋简体"/>
          <w:b/>
          <w:color w:val="000000" w:themeColor="text1"/>
          <w:sz w:val="32"/>
          <w:szCs w:val="32"/>
          <w:lang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center"/>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drawing>
          <wp:inline distT="0" distB="0" distL="114300" distR="114300">
            <wp:extent cx="3840480" cy="2720975"/>
            <wp:effectExtent l="4445" t="4445" r="22225" b="55880"/>
            <wp:docPr id="2" name="图表 2"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center"/>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drawing>
          <wp:inline distT="0" distB="0" distL="114300" distR="114300">
            <wp:extent cx="4228465" cy="2682875"/>
            <wp:effectExtent l="4445" t="4445" r="15240" b="177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w:t>
      </w: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t>情况</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2023年，嘉祥县文化和旅游局未收到政府信息公开申请和因政府信息公开产</w:t>
      </w:r>
      <w:r>
        <w:rPr>
          <w:rFonts w:hint="eastAsia" w:ascii="方正仿宋简体" w:eastAsia="方正仿宋简体"/>
          <w:b/>
          <w:color w:val="000000" w:themeColor="text1"/>
          <w:sz w:val="32"/>
          <w:szCs w:val="32"/>
          <w:lang w:eastAsia="zh-CN"/>
          <w14:textFill>
            <w14:solidFill>
              <w14:schemeClr w14:val="tx1"/>
            </w14:solidFill>
          </w14:textFill>
        </w:rPr>
        <w:t>生的行政复议和行政诉讼。</w:t>
      </w: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w:t>
      </w: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t>情况</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嘉祥县文化和旅游局</w:t>
      </w:r>
      <w:r>
        <w:rPr>
          <w:rFonts w:hint="eastAsia" w:ascii="方正仿宋简体" w:eastAsia="方正仿宋简体"/>
          <w:b/>
          <w:color w:val="000000" w:themeColor="text1"/>
          <w:sz w:val="32"/>
          <w:szCs w:val="32"/>
          <w:lang w:eastAsia="zh-CN"/>
          <w14:textFill>
            <w14:solidFill>
              <w14:schemeClr w14:val="tx1"/>
            </w14:solidFill>
          </w14:textFill>
        </w:rPr>
        <w:t>严格落实政府信息公开保密审查制度，做到上网内容符合国家法律法规，确保信息公开的合法性、真实性、准确性、及时性。</w:t>
      </w: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w:t>
      </w: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t>情况</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嘉祥县文化和旅游局充分发挥政务新媒体作用，多渠道进行信息公开，同时，及时更新职责范围内的政府网站信息内容，坚决避免空白栏目等问题的出现，提高政府网站服务水平，保障群众通过网络平台获取信息的权力。</w:t>
      </w: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w:t>
      </w: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t>情况</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嘉祥县文化和旅游局成立政务信息公开领导小组，建立健全政务公开工作管理制度，实现专人专管。在政务公开工作过程中，由局领导班子和政府信息公开分管领导定期监督检查信息公开工作开展情况，查找存在问题并由专职人员及时整改，积极跟进社会热点和群众关切，及时公开文旅领域相关政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t>二、主动公开政府信息情况</w:t>
      </w:r>
    </w:p>
    <w:tbl>
      <w:tblPr>
        <w:tblStyle w:val="3"/>
        <w:tblW w:w="8160"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autofit"/>
        <w:tblCellMar>
          <w:top w:w="75" w:type="dxa"/>
          <w:left w:w="150" w:type="dxa"/>
          <w:bottom w:w="75" w:type="dxa"/>
          <w:right w:w="150" w:type="dxa"/>
        </w:tblCellMar>
      </w:tblPr>
      <w:tblGrid>
        <w:gridCol w:w="2040"/>
        <w:gridCol w:w="2040"/>
        <w:gridCol w:w="2040"/>
        <w:gridCol w:w="204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75" w:type="dxa"/>
            <w:left w:w="150" w:type="dxa"/>
            <w:bottom w:w="75" w:type="dxa"/>
            <w:right w:w="150" w:type="dxa"/>
          </w:tblCellMar>
        </w:tblPrEx>
        <w:trPr>
          <w:jc w:val="center"/>
        </w:trPr>
        <w:tc>
          <w:tcPr>
            <w:tcW w:w="8160" w:type="dxa"/>
            <w:gridSpan w:val="4"/>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第二十条第(一)项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信息内容</w:t>
            </w:r>
          </w:p>
        </w:tc>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本年制发件数</w:t>
            </w:r>
          </w:p>
        </w:tc>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本年废止件数</w:t>
            </w:r>
          </w:p>
        </w:tc>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现行有效件数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规章</w:t>
            </w:r>
          </w:p>
        </w:tc>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行政规范性文件</w:t>
            </w:r>
          </w:p>
        </w:tc>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8160" w:type="dxa"/>
            <w:gridSpan w:val="4"/>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第二十条第(五)项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信息内容</w:t>
            </w:r>
          </w:p>
        </w:tc>
        <w:tc>
          <w:tcPr>
            <w:tcW w:w="6120" w:type="dxa"/>
            <w:gridSpan w:val="3"/>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本年处理决定数量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行政许可</w:t>
            </w:r>
          </w:p>
        </w:tc>
        <w:tc>
          <w:tcPr>
            <w:tcW w:w="6120" w:type="dxa"/>
            <w:gridSpan w:val="3"/>
            <w:tcBorders>
              <w:tl2br w:val="nil"/>
              <w:tr2bl w:val="nil"/>
            </w:tcBorders>
            <w:shd w:val="clear" w:color="auto" w:fill="auto"/>
            <w:vAlign w:val="center"/>
          </w:tcPr>
          <w:p>
            <w:pPr>
              <w:widowControl/>
              <w:spacing w:line="340" w:lineRule="exact"/>
              <w:jc w:val="left"/>
              <w:rPr>
                <w:rFonts w:hint="default" w:ascii="方正仿宋简体" w:hAnsi="宋体" w:eastAsia="方正仿宋简体" w:cs="宋体"/>
                <w:b/>
                <w:kern w:val="0"/>
                <w:sz w:val="24"/>
                <w:szCs w:val="24"/>
                <w:lang w:val="en-US" w:eastAsia="zh-CN" w:bidi="ar"/>
              </w:rPr>
            </w:pPr>
            <w:r>
              <w:rPr>
                <w:rFonts w:hint="eastAsia" w:ascii="方正仿宋简体" w:hAnsi="宋体" w:eastAsia="方正仿宋简体" w:cs="宋体"/>
                <w:b/>
                <w:kern w:val="0"/>
                <w:sz w:val="24"/>
                <w:szCs w:val="24"/>
                <w:lang w:val="en-US" w:eastAsia="zh-CN" w:bidi="ar"/>
              </w:rPr>
              <w:t>41</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8160" w:type="dxa"/>
            <w:gridSpan w:val="4"/>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第二十条第(六)项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信息内容</w:t>
            </w:r>
          </w:p>
        </w:tc>
        <w:tc>
          <w:tcPr>
            <w:tcW w:w="6120" w:type="dxa"/>
            <w:gridSpan w:val="3"/>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本年处理决定数量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行政处罚</w:t>
            </w:r>
          </w:p>
        </w:tc>
        <w:tc>
          <w:tcPr>
            <w:tcW w:w="6120" w:type="dxa"/>
            <w:gridSpan w:val="3"/>
            <w:tcBorders>
              <w:tl2br w:val="nil"/>
              <w:tr2bl w:val="nil"/>
            </w:tcBorders>
            <w:shd w:val="clear" w:color="auto" w:fill="auto"/>
            <w:vAlign w:val="center"/>
          </w:tcPr>
          <w:p>
            <w:pPr>
              <w:widowControl/>
              <w:spacing w:line="340" w:lineRule="exact"/>
              <w:jc w:val="left"/>
              <w:rPr>
                <w:rFonts w:hint="default" w:ascii="方正仿宋简体" w:hAnsi="宋体" w:eastAsia="方正仿宋简体" w:cs="宋体"/>
                <w:b/>
                <w:kern w:val="0"/>
                <w:sz w:val="24"/>
                <w:szCs w:val="24"/>
                <w:lang w:val="en-US" w:eastAsia="zh-CN" w:bidi="ar"/>
              </w:rPr>
            </w:pPr>
            <w:r>
              <w:rPr>
                <w:rFonts w:hint="eastAsia" w:ascii="方正仿宋简体" w:hAnsi="宋体" w:eastAsia="方正仿宋简体" w:cs="宋体"/>
                <w:b/>
                <w:kern w:val="0"/>
                <w:sz w:val="24"/>
                <w:szCs w:val="24"/>
                <w:lang w:val="en-US" w:eastAsia="zh-CN" w:bidi="ar"/>
              </w:rPr>
              <w:t>38</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行政强制</w:t>
            </w:r>
          </w:p>
        </w:tc>
        <w:tc>
          <w:tcPr>
            <w:tcW w:w="6120" w:type="dxa"/>
            <w:gridSpan w:val="3"/>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val="en-US" w:eastAsia="zh-CN" w:bidi="ar"/>
              </w:rPr>
            </w:pPr>
            <w:r>
              <w:rPr>
                <w:rFonts w:hint="eastAsia" w:ascii="方正仿宋简体" w:hAnsi="宋体" w:eastAsia="方正仿宋简体" w:cs="宋体"/>
                <w:b/>
                <w:kern w:val="0"/>
                <w:sz w:val="24"/>
                <w:szCs w:val="24"/>
                <w:lang w:val="en-US" w:eastAsia="zh-CN"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8160" w:type="dxa"/>
            <w:gridSpan w:val="4"/>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第二十条第(八)项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信息内容</w:t>
            </w:r>
          </w:p>
        </w:tc>
        <w:tc>
          <w:tcPr>
            <w:tcW w:w="6120" w:type="dxa"/>
            <w:gridSpan w:val="3"/>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本年收费金额(单位:万元)</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20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行政事业性收费</w:t>
            </w:r>
          </w:p>
        </w:tc>
        <w:tc>
          <w:tcPr>
            <w:tcW w:w="0" w:type="auto"/>
            <w:gridSpan w:val="3"/>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t>三、收到和处理政府信息公开申请情况</w:t>
      </w:r>
    </w:p>
    <w:tbl>
      <w:tblPr>
        <w:tblStyle w:val="3"/>
        <w:tblW w:w="9885"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autofit"/>
        <w:tblCellMar>
          <w:top w:w="75" w:type="dxa"/>
          <w:left w:w="150" w:type="dxa"/>
          <w:bottom w:w="75" w:type="dxa"/>
          <w:right w:w="150" w:type="dxa"/>
        </w:tblCellMar>
      </w:tblPr>
      <w:tblGrid>
        <w:gridCol w:w="940"/>
        <w:gridCol w:w="1022"/>
        <w:gridCol w:w="2526"/>
        <w:gridCol w:w="771"/>
        <w:gridCol w:w="771"/>
        <w:gridCol w:w="771"/>
        <w:gridCol w:w="771"/>
        <w:gridCol w:w="771"/>
        <w:gridCol w:w="771"/>
        <w:gridCol w:w="77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75" w:type="dxa"/>
            <w:left w:w="150" w:type="dxa"/>
            <w:bottom w:w="75" w:type="dxa"/>
            <w:right w:w="150" w:type="dxa"/>
          </w:tblCellMar>
        </w:tblPrEx>
        <w:trPr>
          <w:jc w:val="center"/>
        </w:trPr>
        <w:tc>
          <w:tcPr>
            <w:tcW w:w="4488" w:type="dxa"/>
            <w:gridSpan w:val="3"/>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(本列数据的勾稽关系为:第一项加第二项之和，等于第三项加第四项之和)</w:t>
            </w:r>
          </w:p>
        </w:tc>
        <w:tc>
          <w:tcPr>
            <w:tcW w:w="5397" w:type="dxa"/>
            <w:gridSpan w:val="7"/>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申请人情况</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4488" w:type="dxa"/>
            <w:gridSpan w:val="3"/>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771"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自然人</w:t>
            </w:r>
          </w:p>
        </w:tc>
        <w:tc>
          <w:tcPr>
            <w:tcW w:w="3855" w:type="dxa"/>
            <w:gridSpan w:val="5"/>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法人或其他组织</w:t>
            </w:r>
          </w:p>
        </w:tc>
        <w:tc>
          <w:tcPr>
            <w:tcW w:w="771"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总计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4488" w:type="dxa"/>
            <w:gridSpan w:val="3"/>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771"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商业企业</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科研机构</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社会公益组织</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法律服务机构</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其他</w:t>
            </w:r>
          </w:p>
        </w:tc>
        <w:tc>
          <w:tcPr>
            <w:tcW w:w="771"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4488" w:type="dxa"/>
            <w:gridSpan w:val="3"/>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一、本年新收政府信息公开申请数量</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4488" w:type="dxa"/>
            <w:gridSpan w:val="3"/>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二、上年结转政府信息公开申请数量</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三、本年度办理结果</w:t>
            </w:r>
          </w:p>
        </w:tc>
        <w:tc>
          <w:tcPr>
            <w:tcW w:w="3548" w:type="dxa"/>
            <w:gridSpan w:val="2"/>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(一)予以公开</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3548" w:type="dxa"/>
            <w:gridSpan w:val="2"/>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(二)部分公开(区分处理的，只计这一情形，不计其他情形)</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(三)不予公开</w:t>
            </w: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1.属于国家秘密</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2.其他法律行政法规禁止公开</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3.危及“三安全一稳定”</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4.保护第三方合法权益</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5.属于三类内部事务信息</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6.属于四类过程性信息</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7.属于行政执法案卷</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8.属于行政查询事项</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(四)无法提供</w:t>
            </w: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1.本机关不掌握相关政府信息</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2.没有现成信息需要另行制作</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3.补正后申请内容仍不明确</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(五)不予处理</w:t>
            </w:r>
          </w:p>
        </w:tc>
        <w:tc>
          <w:tcPr>
            <w:tcW w:w="2526"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1.信访举报投诉类申请</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2.重复申请</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3.要求提供公开出版物</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4.无正当理由大量反复申请</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5.要求行政机关确认或重新出具已获取信息</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(六)其他处理</w:t>
            </w:r>
          </w:p>
        </w:tc>
        <w:tc>
          <w:tcPr>
            <w:tcW w:w="2526"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1.申请人无正当理由逾期不补正、行政机关不再处理其政府信息公开申请</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2.申请人逾期未按收费通知要求缴纳费用、行政机关不再处理其政府信息公开申请</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val="en-US" w:eastAsia="zh-CN"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1022"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2526"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3.其他</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94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3548" w:type="dxa"/>
            <w:gridSpan w:val="2"/>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(七)总计</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top"/>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4488" w:type="dxa"/>
            <w:gridSpan w:val="3"/>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四、结转下年度继续办理</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771"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t>四、政府信息公开行政复议、行政诉讼情况</w:t>
      </w:r>
    </w:p>
    <w:tbl>
      <w:tblPr>
        <w:tblStyle w:val="3"/>
        <w:tblW w:w="8550"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autofit"/>
        <w:tblCellMar>
          <w:top w:w="75" w:type="dxa"/>
          <w:left w:w="150" w:type="dxa"/>
          <w:bottom w:w="75" w:type="dxa"/>
          <w:right w:w="150" w:type="dxa"/>
        </w:tblCellMar>
      </w:tblPr>
      <w:tblGrid>
        <w:gridCol w:w="570"/>
        <w:gridCol w:w="570"/>
        <w:gridCol w:w="570"/>
        <w:gridCol w:w="570"/>
        <w:gridCol w:w="570"/>
        <w:gridCol w:w="570"/>
        <w:gridCol w:w="570"/>
        <w:gridCol w:w="570"/>
        <w:gridCol w:w="570"/>
        <w:gridCol w:w="570"/>
        <w:gridCol w:w="570"/>
        <w:gridCol w:w="570"/>
        <w:gridCol w:w="570"/>
        <w:gridCol w:w="570"/>
        <w:gridCol w:w="57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PrEx>
        <w:trPr>
          <w:jc w:val="center"/>
        </w:trPr>
        <w:tc>
          <w:tcPr>
            <w:tcW w:w="2850" w:type="dxa"/>
            <w:gridSpan w:val="5"/>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行政复议</w:t>
            </w:r>
          </w:p>
        </w:tc>
        <w:tc>
          <w:tcPr>
            <w:tcW w:w="5700" w:type="dxa"/>
            <w:gridSpan w:val="10"/>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行政诉讼</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570"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结果维持</w:t>
            </w:r>
          </w:p>
        </w:tc>
        <w:tc>
          <w:tcPr>
            <w:tcW w:w="570"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结果纠正</w:t>
            </w:r>
          </w:p>
        </w:tc>
        <w:tc>
          <w:tcPr>
            <w:tcW w:w="570"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其他结果</w:t>
            </w:r>
          </w:p>
        </w:tc>
        <w:tc>
          <w:tcPr>
            <w:tcW w:w="570"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尚未审结</w:t>
            </w:r>
          </w:p>
        </w:tc>
        <w:tc>
          <w:tcPr>
            <w:tcW w:w="570" w:type="dxa"/>
            <w:vMerge w:val="restart"/>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总计</w:t>
            </w:r>
          </w:p>
        </w:tc>
        <w:tc>
          <w:tcPr>
            <w:tcW w:w="2850" w:type="dxa"/>
            <w:gridSpan w:val="5"/>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未经复议直接起诉</w:t>
            </w:r>
          </w:p>
        </w:tc>
        <w:tc>
          <w:tcPr>
            <w:tcW w:w="2850" w:type="dxa"/>
            <w:gridSpan w:val="5"/>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复议后起诉</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57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57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57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57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570" w:type="dxa"/>
            <w:vMerge w:val="continue"/>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结果维持</w:t>
            </w: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结果纠正</w:t>
            </w: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其他结果</w:t>
            </w: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尚未审结</w:t>
            </w: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总计</w:t>
            </w: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结果维持</w:t>
            </w: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结果纠正</w:t>
            </w: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其他结果</w:t>
            </w: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尚未审结</w:t>
            </w:r>
          </w:p>
        </w:tc>
        <w:tc>
          <w:tcPr>
            <w:tcW w:w="570" w:type="dxa"/>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总计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75" w:type="dxa"/>
            <w:left w:w="150" w:type="dxa"/>
            <w:bottom w:w="75" w:type="dxa"/>
            <w:right w:w="150" w:type="dxa"/>
          </w:tblCellMar>
        </w:tblPrEx>
        <w:trPr>
          <w:jc w:val="center"/>
        </w:trPr>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c>
          <w:tcPr>
            <w:tcW w:w="0" w:type="auto"/>
            <w:tcBorders>
              <w:tl2br w:val="nil"/>
              <w:tr2bl w:val="nil"/>
            </w:tcBorders>
            <w:shd w:val="clear" w:color="auto" w:fill="auto"/>
            <w:vAlign w:val="center"/>
          </w:tcPr>
          <w:p>
            <w:pPr>
              <w:widowControl/>
              <w:spacing w:line="340" w:lineRule="exact"/>
              <w:jc w:val="left"/>
              <w:rPr>
                <w:rFonts w:hint="eastAsia" w:ascii="方正仿宋简体" w:hAnsi="宋体" w:eastAsia="方正仿宋简体" w:cs="宋体"/>
                <w:b/>
                <w:kern w:val="0"/>
                <w:sz w:val="24"/>
                <w:szCs w:val="24"/>
                <w:lang w:bidi="ar"/>
              </w:rPr>
            </w:pPr>
            <w:r>
              <w:rPr>
                <w:rFonts w:hint="eastAsia" w:ascii="方正仿宋简体" w:hAnsi="宋体" w:eastAsia="方正仿宋简体" w:cs="宋体"/>
                <w:b/>
                <w:kern w:val="0"/>
                <w:sz w:val="24"/>
                <w:szCs w:val="24"/>
                <w:lang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t>五、存在的主要问题及改进情况</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是主动公开政府信息的意识有待加强。我们将继续加大对政府信息公开条例的贯彻执行力度，有效发挥政府信息公开对建设法治政府、透明政府、创新政府、廉洁政府的促进作用，切实保障公众的知情权、参与权和监督权。</w:t>
      </w:r>
    </w:p>
    <w:p>
      <w:pPr>
        <w:spacing w:line="590" w:lineRule="exact"/>
        <w:ind w:right="-105" w:rightChars="-50" w:firstLine="643" w:firstLineChars="200"/>
        <w:rPr>
          <w:rFonts w:hint="default"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rPr>
        <w:t>二是</w:t>
      </w:r>
      <w:r>
        <w:rPr>
          <w:rFonts w:hint="eastAsia" w:ascii="方正仿宋简体" w:hAnsi="Times New Roman" w:eastAsia="方正仿宋简体" w:cs="Times New Roman"/>
          <w:b/>
          <w:kern w:val="0"/>
          <w:sz w:val="32"/>
          <w:szCs w:val="32"/>
          <w:lang w:eastAsia="zh-CN"/>
        </w:rPr>
        <w:t>政务公开信息质量有待提升</w:t>
      </w:r>
      <w:r>
        <w:rPr>
          <w:rFonts w:hint="eastAsia" w:ascii="方正仿宋简体" w:hAnsi="Times New Roman" w:eastAsia="方正仿宋简体" w:cs="Times New Roman"/>
          <w:b/>
          <w:kern w:val="0"/>
          <w:sz w:val="32"/>
          <w:szCs w:val="32"/>
        </w:rPr>
        <w:t>。下一步，我们将</w:t>
      </w:r>
      <w:r>
        <w:rPr>
          <w:rFonts w:hint="eastAsia" w:ascii="方正仿宋简体" w:hAnsi="Times New Roman" w:eastAsia="方正仿宋简体" w:cs="Times New Roman"/>
          <w:b/>
          <w:kern w:val="0"/>
          <w:sz w:val="32"/>
          <w:szCs w:val="32"/>
          <w:lang w:val="en-US" w:eastAsia="zh-CN"/>
        </w:rPr>
        <w:t>加强政务信息业务培训，提升工作人员专业技能，提高</w:t>
      </w:r>
      <w:r>
        <w:rPr>
          <w:rFonts w:hint="eastAsia" w:ascii="方正仿宋简体" w:hAnsi="Times New Roman" w:eastAsia="方正仿宋简体" w:cs="Times New Roman"/>
          <w:b/>
          <w:kern w:val="0"/>
          <w:sz w:val="32"/>
          <w:szCs w:val="32"/>
          <w:lang w:eastAsia="zh-CN"/>
        </w:rPr>
        <w:t>政务公开信息质量。</w:t>
      </w:r>
    </w:p>
    <w:p>
      <w:pPr>
        <w:spacing w:line="590" w:lineRule="exact"/>
        <w:ind w:right="-105" w:rightChars="-50" w:firstLine="643" w:firstLineChars="200"/>
        <w:rPr>
          <w:rFonts w:hint="default"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rPr>
        <w:t>202</w:t>
      </w:r>
      <w:r>
        <w:rPr>
          <w:rFonts w:hint="eastAsia" w:ascii="方正仿宋简体" w:hAnsi="Times New Roman" w:eastAsia="方正仿宋简体" w:cs="Times New Roman"/>
          <w:b/>
          <w:kern w:val="0"/>
          <w:sz w:val="32"/>
          <w:szCs w:val="32"/>
          <w:lang w:val="en-US" w:eastAsia="zh-CN"/>
        </w:rPr>
        <w:t>4</w:t>
      </w:r>
      <w:r>
        <w:rPr>
          <w:rFonts w:hint="eastAsia" w:ascii="方正仿宋简体" w:hAnsi="Times New Roman" w:eastAsia="方正仿宋简体" w:cs="Times New Roman"/>
          <w:b/>
          <w:kern w:val="0"/>
          <w:sz w:val="32"/>
          <w:szCs w:val="32"/>
        </w:rPr>
        <w:t>年，</w:t>
      </w:r>
      <w:r>
        <w:rPr>
          <w:rFonts w:hint="eastAsia" w:ascii="方正仿宋简体" w:hAnsi="Times New Roman" w:eastAsia="方正仿宋简体" w:cs="Times New Roman"/>
          <w:b/>
          <w:kern w:val="0"/>
          <w:sz w:val="32"/>
          <w:szCs w:val="32"/>
          <w:lang w:eastAsia="zh-CN"/>
        </w:rPr>
        <w:t>嘉祥县文化和旅游局</w:t>
      </w:r>
      <w:r>
        <w:rPr>
          <w:rFonts w:hint="eastAsia" w:ascii="方正仿宋简体" w:hAnsi="Times New Roman" w:eastAsia="方正仿宋简体" w:cs="Times New Roman"/>
          <w:b/>
          <w:kern w:val="0"/>
          <w:sz w:val="32"/>
          <w:szCs w:val="32"/>
        </w:rPr>
        <w:t>将按照《中华人民共和国政府信息公开条例》和县委县政府对政府信息公开的相关要求，继续大力推进政府信息公开工作，进一步健全信息公开机制，深化主动公开内容，</w:t>
      </w:r>
      <w:r>
        <w:rPr>
          <w:rFonts w:hint="eastAsia" w:ascii="方正仿宋简体" w:hAnsi="Times New Roman" w:eastAsia="方正仿宋简体" w:cs="Times New Roman"/>
          <w:b/>
          <w:kern w:val="0"/>
          <w:sz w:val="32"/>
          <w:szCs w:val="32"/>
          <w:lang w:eastAsia="zh-CN"/>
        </w:rPr>
        <w:t>提升文旅</w:t>
      </w:r>
      <w:r>
        <w:rPr>
          <w:rFonts w:hint="eastAsia" w:ascii="方正仿宋简体" w:hAnsi="Times New Roman" w:eastAsia="方正仿宋简体" w:cs="Times New Roman"/>
          <w:b/>
          <w:kern w:val="0"/>
          <w:sz w:val="32"/>
          <w:szCs w:val="32"/>
        </w:rPr>
        <w:t>信息</w:t>
      </w:r>
      <w:r>
        <w:rPr>
          <w:rFonts w:hint="eastAsia" w:ascii="方正仿宋简体" w:hAnsi="Times New Roman" w:eastAsia="方正仿宋简体" w:cs="Times New Roman"/>
          <w:b/>
          <w:kern w:val="0"/>
          <w:sz w:val="32"/>
          <w:szCs w:val="32"/>
          <w:lang w:eastAsia="zh-CN"/>
        </w:rPr>
        <w:t>质量</w:t>
      </w:r>
      <w:r>
        <w:rPr>
          <w:rFonts w:hint="eastAsia" w:ascii="方正仿宋简体" w:hAnsi="Times New Roman" w:eastAsia="方正仿宋简体" w:cs="Times New Roman"/>
          <w:b/>
          <w:kern w:val="0"/>
          <w:sz w:val="32"/>
          <w:szCs w:val="32"/>
        </w:rPr>
        <w:t>，创新信息公开渠道，加强队伍建设，加大培训力度，不断提高业务能力和综合素质。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lang w:val="en-US" w:eastAsia="zh-CN" w:bidi="ar-SA"/>
          <w14:textFill>
            <w14:solidFill>
              <w14:schemeClr w14:val="tx1"/>
            </w14:solidFill>
          </w14:textFill>
        </w:rPr>
        <w:t>六、其他需要报告的事项</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lang w:eastAsia="zh-CN"/>
        </w:rPr>
        <w:t>（一）依据《政府信息公开信息处理费管理办法》，嘉祥县文化和旅游局2023年没有收取信息处理费的情况。</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lang w:eastAsia="zh-CN"/>
        </w:rPr>
        <w:t>（二）落实上级年度政务公开工作要点情况。嘉祥县文化和旅游局结合度文化旅游领域工作实际，根据</w:t>
      </w:r>
      <w:r>
        <w:rPr>
          <w:rFonts w:hint="eastAsia" w:ascii="方正仿宋简体" w:eastAsia="方正仿宋简体"/>
          <w:b/>
          <w:color w:val="000000" w:themeColor="text1"/>
          <w:sz w:val="32"/>
          <w:szCs w:val="32"/>
          <w:lang w:eastAsia="zh-CN"/>
          <w14:textFill>
            <w14:solidFill>
              <w14:schemeClr w14:val="tx1"/>
            </w14:solidFill>
          </w14:textFill>
        </w:rPr>
        <w:t>《2023年嘉祥县政务公开重点工作任务分解表》要求，加强政务公开培训</w:t>
      </w:r>
      <w:r>
        <w:rPr>
          <w:rFonts w:hint="eastAsia" w:ascii="方正仿宋简体" w:hAnsi="Times New Roman" w:eastAsia="方正仿宋简体" w:cs="Times New Roman"/>
          <w:b/>
          <w:kern w:val="0"/>
          <w:sz w:val="32"/>
          <w:szCs w:val="32"/>
          <w:lang w:eastAsia="zh-CN"/>
        </w:rPr>
        <w:t>，丰富政务公开内容，提升政务公开质量，落实政务公开工作，确保政务公开的针对性、准确性、实效性。</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lang w:eastAsia="zh-CN"/>
        </w:rPr>
        <w:t>（三）人大代表建议和政协提案办理结果公开情况：2023年，嘉祥县文化和旅游局共收到人大代表建议2件，政协委员提案21件，共计</w:t>
      </w:r>
      <w:r>
        <w:rPr>
          <w:rFonts w:hint="eastAsia" w:ascii="方正仿宋简体" w:hAnsi="Times New Roman" w:eastAsia="方正仿宋简体" w:cs="Times New Roman"/>
          <w:b/>
          <w:kern w:val="0"/>
          <w:sz w:val="32"/>
          <w:szCs w:val="32"/>
          <w:lang w:val="en-US" w:eastAsia="zh-CN"/>
        </w:rPr>
        <w:t>23件。</w:t>
      </w:r>
      <w:r>
        <w:rPr>
          <w:rFonts w:hint="eastAsia" w:ascii="方正仿宋简体" w:hAnsi="Times New Roman" w:eastAsia="方正仿宋简体" w:cs="Times New Roman"/>
          <w:b/>
          <w:kern w:val="0"/>
          <w:sz w:val="32"/>
          <w:szCs w:val="32"/>
          <w:lang w:eastAsia="zh-CN"/>
        </w:rPr>
        <w:t>嘉祥县文化和旅游局始终以对人民负责、为人民服务的精神，认真办理建议提案。</w:t>
      </w:r>
      <w:bookmarkStart w:id="0" w:name="_GoBack"/>
      <w:bookmarkEnd w:id="0"/>
      <w:r>
        <w:rPr>
          <w:rFonts w:hint="eastAsia" w:ascii="方正仿宋简体" w:hAnsi="Times New Roman" w:eastAsia="方正仿宋简体" w:cs="Times New Roman"/>
          <w:b/>
          <w:kern w:val="0"/>
          <w:sz w:val="32"/>
          <w:szCs w:val="32"/>
          <w:lang w:eastAsia="zh-CN"/>
        </w:rPr>
        <w:t>坚持落实走访、回访代表、委员的制度并将此举作为密切联系群众，了解广大群众对我县文旅事业的建议、要求的主要渠道。</w:t>
      </w:r>
      <w:r>
        <w:rPr>
          <w:rFonts w:hint="eastAsia" w:ascii="方正仿宋简体" w:hAnsi="Times New Roman" w:eastAsia="方正仿宋简体" w:cs="Times New Roman"/>
          <w:b/>
          <w:kern w:val="0"/>
          <w:sz w:val="32"/>
          <w:szCs w:val="32"/>
          <w:lang w:val="en-US" w:eastAsia="zh-CN"/>
        </w:rPr>
        <w:t>2023年，</w:t>
      </w:r>
      <w:r>
        <w:rPr>
          <w:rFonts w:hint="eastAsia" w:ascii="方正仿宋简体" w:hAnsi="Times New Roman" w:eastAsia="方正仿宋简体" w:cs="Times New Roman"/>
          <w:b/>
          <w:kern w:val="0"/>
          <w:sz w:val="32"/>
          <w:szCs w:val="32"/>
          <w:lang w:eastAsia="zh-CN"/>
        </w:rPr>
        <w:t>所有提案均在规定期限内办复完毕，所有提案均得到人大代表和政协委员的认可，办复率、公开率、满意率、问题解决率均达到100%。</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91D34114-824B-42EB-833C-E4DBE4415703}"/>
  </w:font>
  <w:font w:name="微软雅黑">
    <w:panose1 w:val="020B0503020204020204"/>
    <w:charset w:val="86"/>
    <w:family w:val="auto"/>
    <w:pitch w:val="default"/>
    <w:sig w:usb0="80000287" w:usb1="280F3C52" w:usb2="00000016" w:usb3="00000000" w:csb0="0004001F" w:csb1="00000000"/>
    <w:embedRegular r:id="rId2" w:fontKey="{1D31F71D-F588-4368-906A-A66C62C3C763}"/>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embedRegular r:id="rId3" w:fontKey="{3B545011-EBE2-4A7D-AA94-BC37F54E8EEC}"/>
  </w:font>
  <w:font w:name="方正楷体简体">
    <w:panose1 w:val="02000000000000000000"/>
    <w:charset w:val="86"/>
    <w:family w:val="auto"/>
    <w:pitch w:val="default"/>
    <w:sig w:usb0="A00002BF" w:usb1="184F6CFA" w:usb2="00000012" w:usb3="00000000" w:csb0="00040001" w:csb1="00000000"/>
    <w:embedRegular r:id="rId4" w:fontKey="{ADF24976-B037-450A-A860-9E23A03D4D23}"/>
  </w:font>
  <w:font w:name="仿宋_GB2312">
    <w:panose1 w:val="02010609030101010101"/>
    <w:charset w:val="86"/>
    <w:family w:val="auto"/>
    <w:pitch w:val="default"/>
    <w:sig w:usb0="00000001" w:usb1="080E0000" w:usb2="00000000" w:usb3="00000000" w:csb0="00040000" w:csb1="00000000"/>
    <w:embedRegular r:id="rId5" w:fontKey="{3A83DEFA-63F0-49C3-8A66-5E3B072268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YzAwNjFiZjY4NTY1YWY3OWViMmQ4ZWU5YTJjYjAifQ=="/>
  </w:docVars>
  <w:rsids>
    <w:rsidRoot w:val="00000000"/>
    <w:rsid w:val="011A4C7F"/>
    <w:rsid w:val="056C729B"/>
    <w:rsid w:val="0F8713C9"/>
    <w:rsid w:val="134A6C68"/>
    <w:rsid w:val="15431BC1"/>
    <w:rsid w:val="17295DC9"/>
    <w:rsid w:val="25757B75"/>
    <w:rsid w:val="274F0899"/>
    <w:rsid w:val="281A4A03"/>
    <w:rsid w:val="290A4A78"/>
    <w:rsid w:val="2E3A195C"/>
    <w:rsid w:val="308A0377"/>
    <w:rsid w:val="330B38C7"/>
    <w:rsid w:val="354E64BC"/>
    <w:rsid w:val="37F4125D"/>
    <w:rsid w:val="49303C2F"/>
    <w:rsid w:val="4EF474AD"/>
    <w:rsid w:val="516E1E1B"/>
    <w:rsid w:val="517D5E7F"/>
    <w:rsid w:val="602D281F"/>
    <w:rsid w:val="653F4ADB"/>
    <w:rsid w:val="6B5E5F82"/>
    <w:rsid w:val="6D142D9C"/>
    <w:rsid w:val="6DE22E9A"/>
    <w:rsid w:val="792C2951"/>
    <w:rsid w:val="7BBC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en-US"/>
              <a:t>嘉祥县文化和旅游局</a:t>
            </a:r>
            <a:endParaRPr altLang="en-US"/>
          </a:p>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2023</a:t>
            </a:r>
            <a:r>
              <a:rPr altLang="en-US"/>
              <a:t>年主动公开信息情况</a:t>
            </a:r>
            <a:endParaRPr altLang="en-US"/>
          </a:p>
        </c:rich>
      </c:tx>
      <c:layout>
        <c:manualLayout>
          <c:xMode val="edge"/>
          <c:yMode val="edge"/>
          <c:x val="0.245831455610635"/>
          <c:y val="0.00735294117647059"/>
        </c:manualLayout>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系列 1</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Lbls>
            <c:dLbl>
              <c:idx val="0"/>
              <c:layout>
                <c:manualLayout>
                  <c:x val="-0.0687388842180043"/>
                  <c:y val="-0.196217034565756"/>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551</a:t>
                    </a:r>
                    <a:r>
                      <a:rPr altLang="en-US"/>
                      <a:t>条</a:t>
                    </a:r>
                    <a:endParaRPr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443149669915"/>
                  <c:y val="0.103711392973558"/>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88</a:t>
                    </a:r>
                    <a:r>
                      <a:rPr altLang="en-US"/>
                      <a:t>条</a:t>
                    </a:r>
                    <a:endParaRPr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政务新媒体账号公开信息</c:v>
                </c:pt>
                <c:pt idx="1">
                  <c:v>政府信息公开内容管理系统发布信息</c:v>
                </c:pt>
              </c:strCache>
            </c:strRef>
          </c:cat>
          <c:val>
            <c:numRef>
              <c:f>Sheet1!$B$2:$B$3</c:f>
              <c:numCache>
                <c:formatCode>General</c:formatCode>
                <c:ptCount val="2"/>
                <c:pt idx="0">
                  <c:v>8.7</c:v>
                </c:pt>
                <c:pt idx="1">
                  <c:v>1.3</c:v>
                </c:pt>
              </c:numCache>
            </c:numRef>
          </c:val>
        </c:ser>
        <c:ser>
          <c:idx val="1"/>
          <c:order val="1"/>
          <c:tx>
            <c:strRef>
              <c:f>Sheet1!$C$1</c:f>
              <c:strCache>
                <c:ptCount val="1"/>
                <c:pt idx="0">
                  <c:v>系列 2</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政务新媒体账号公开信息</c:v>
                </c:pt>
                <c:pt idx="1">
                  <c:v>政府信息公开内容管理系统发布信息</c:v>
                </c:pt>
              </c:strCache>
            </c:strRef>
          </c:cat>
          <c:val>
            <c:numRef>
              <c:f>Sheet1!$C$2:$C$3</c:f>
              <c:numCache>
                <c:formatCode>General</c:formatCode>
                <c:ptCount val="2"/>
                <c:pt idx="0">
                  <c:v>2.4</c:v>
                </c:pt>
                <c:pt idx="1">
                  <c:v>4.4</c:v>
                </c:pt>
              </c:numCache>
            </c:numRef>
          </c:val>
        </c:ser>
        <c:ser>
          <c:idx val="2"/>
          <c:order val="2"/>
          <c:tx>
            <c:strRef>
              <c:f>Sheet1!$D$1</c:f>
              <c:strCache>
                <c:ptCount val="1"/>
                <c:pt idx="0">
                  <c:v>系列 3</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政务新媒体账号公开信息</c:v>
                </c:pt>
                <c:pt idx="1">
                  <c:v>政府信息公开内容管理系统发布信息</c:v>
                </c:pt>
              </c:strCache>
            </c:strRef>
          </c:cat>
          <c:val>
            <c:numRef>
              <c:f>Sheet1!$D$2:$D$3</c:f>
              <c:numCache>
                <c:formatCode>General</c:formatCode>
                <c:ptCount val="2"/>
                <c:pt idx="0">
                  <c:v>2</c:v>
                </c:pt>
                <c:pt idx="1">
                  <c:v>2</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manualLayout>
          <c:xMode val="edge"/>
          <c:yMode val="edge"/>
          <c:x val="0.19858795253117"/>
          <c:y val="0.175449346405229"/>
          <c:w val="0.623704371338441"/>
          <c:h val="0.134803921568627"/>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年与</a:t>
            </a:r>
            <a:r>
              <a:rPr lang="en-US" altLang="zh-CN"/>
              <a:t>2022</a:t>
            </a:r>
            <a:r>
              <a:rPr altLang="en-US"/>
              <a:t>年信息公开情况对比</a:t>
            </a:r>
            <a:endParaRPr altLang="en-US"/>
          </a:p>
        </c:rich>
      </c:tx>
      <c:layout>
        <c:manualLayout>
          <c:xMode val="edge"/>
          <c:yMode val="edge"/>
          <c:x val="0.177278870701306"/>
          <c:y val="0.024852071005917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2022年条数</c:v>
                </c:pt>
              </c:strCache>
            </c:strRef>
          </c:tx>
          <c:spPr>
            <a:solidFill>
              <a:schemeClr val="accent1"/>
            </a:solidFill>
            <a:ln>
              <a:noFill/>
            </a:ln>
            <a:effectLst/>
          </c:spPr>
          <c:invertIfNegative val="0"/>
          <c:dLbls>
            <c:delete val="1"/>
          </c:dLbls>
          <c:cat>
            <c:strRef>
              <c:f>Sheet1!$A$2:$A$3</c:f>
              <c:strCache>
                <c:ptCount val="2"/>
                <c:pt idx="0">
                  <c:v>政府信息公开内容管理系统发布信息</c:v>
                </c:pt>
                <c:pt idx="1">
                  <c:v>政务新媒体账号公开信息</c:v>
                </c:pt>
              </c:strCache>
            </c:strRef>
          </c:cat>
          <c:val>
            <c:numRef>
              <c:f>Sheet1!$B$2:$B$3</c:f>
              <c:numCache>
                <c:formatCode>General</c:formatCode>
                <c:ptCount val="2"/>
                <c:pt idx="0">
                  <c:v>166</c:v>
                </c:pt>
                <c:pt idx="1">
                  <c:v>367</c:v>
                </c:pt>
              </c:numCache>
            </c:numRef>
          </c:val>
        </c:ser>
        <c:ser>
          <c:idx val="1"/>
          <c:order val="1"/>
          <c:tx>
            <c:strRef>
              <c:f>Sheet1!$C$1</c:f>
              <c:strCache>
                <c:ptCount val="1"/>
                <c:pt idx="0">
                  <c:v>2023年条数</c:v>
                </c:pt>
              </c:strCache>
            </c:strRef>
          </c:tx>
          <c:spPr>
            <a:solidFill>
              <a:schemeClr val="accent2"/>
            </a:solidFill>
            <a:ln>
              <a:noFill/>
            </a:ln>
            <a:effectLst/>
          </c:spPr>
          <c:invertIfNegative val="0"/>
          <c:dLbls>
            <c:delete val="1"/>
          </c:dLbls>
          <c:cat>
            <c:strRef>
              <c:f>Sheet1!$A$2:$A$3</c:f>
              <c:strCache>
                <c:ptCount val="2"/>
                <c:pt idx="0">
                  <c:v>政府信息公开内容管理系统发布信息</c:v>
                </c:pt>
                <c:pt idx="1">
                  <c:v>政务新媒体账号公开信息</c:v>
                </c:pt>
              </c:strCache>
            </c:strRef>
          </c:cat>
          <c:val>
            <c:numRef>
              <c:f>Sheet1!$C$2:$C$3</c:f>
              <c:numCache>
                <c:formatCode>General</c:formatCode>
                <c:ptCount val="2"/>
                <c:pt idx="0">
                  <c:v>88</c:v>
                </c:pt>
                <c:pt idx="1">
                  <c:v>551</c:v>
                </c:pt>
              </c:numCache>
            </c:numRef>
          </c:val>
        </c:ser>
        <c:dLbls>
          <c:showLegendKey val="0"/>
          <c:showVal val="0"/>
          <c:showCatName val="0"/>
          <c:showSerName val="0"/>
          <c:showPercent val="0"/>
          <c:showBubbleSize val="0"/>
        </c:dLbls>
        <c:gapWidth val="219"/>
        <c:overlap val="-27"/>
        <c:axId val="520490290"/>
        <c:axId val="472285978"/>
      </c:barChart>
      <c:lineChart>
        <c:grouping val="standard"/>
        <c:varyColors val="0"/>
        <c:ser>
          <c:idx val="2"/>
          <c:order val="2"/>
          <c:tx>
            <c:strRef>
              <c:f>Sheet1!$D$1</c:f>
              <c:strCache>
                <c:ptCount val="1"/>
                <c:pt idx="0">
                  <c:v>同比变动（％）</c:v>
                </c:pt>
              </c:strCache>
            </c:strRef>
          </c:tx>
          <c:spPr>
            <a:ln w="28575" cap="rnd">
              <a:solidFill>
                <a:schemeClr val="accent3"/>
              </a:solidFill>
              <a:round/>
            </a:ln>
            <a:effectLst/>
          </c:spPr>
          <c:marker>
            <c:symbol val="none"/>
          </c:marker>
          <c:dLbls>
            <c:delete val="1"/>
          </c:dLbls>
          <c:cat>
            <c:strRef>
              <c:f>Sheet1!$A$2:$A$3</c:f>
              <c:strCache>
                <c:ptCount val="2"/>
                <c:pt idx="0">
                  <c:v>政府信息公开内容管理系统发布信息</c:v>
                </c:pt>
                <c:pt idx="1">
                  <c:v>政务新媒体账号公开信息</c:v>
                </c:pt>
              </c:strCache>
            </c:strRef>
          </c:cat>
          <c:val>
            <c:numRef>
              <c:f>Sheet1!$D$2:$D$3</c:f>
              <c:numCache>
                <c:formatCode>General</c:formatCode>
                <c:ptCount val="2"/>
                <c:pt idx="0">
                  <c:v>-47</c:v>
                </c:pt>
                <c:pt idx="1">
                  <c:v>33</c:v>
                </c:pt>
              </c:numCache>
            </c:numRef>
          </c:val>
          <c:smooth val="0"/>
        </c:ser>
        <c:dLbls>
          <c:showLegendKey val="0"/>
          <c:showVal val="0"/>
          <c:showCatName val="0"/>
          <c:showSerName val="0"/>
          <c:showPercent val="0"/>
          <c:showBubbleSize val="0"/>
        </c:dLbls>
        <c:marker val="0"/>
        <c:smooth val="0"/>
        <c:axId val="520490290"/>
        <c:axId val="472285978"/>
      </c:lineChart>
      <c:catAx>
        <c:axId val="5204902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285978"/>
        <c:crosses val="autoZero"/>
        <c:auto val="1"/>
        <c:lblAlgn val="ctr"/>
        <c:lblOffset val="100"/>
        <c:noMultiLvlLbl val="0"/>
      </c:catAx>
      <c:valAx>
        <c:axId val="4722859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04902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2470</Words>
  <Characters>2581</Characters>
  <Lines>0</Lines>
  <Paragraphs>0</Paragraphs>
  <TotalTime>8</TotalTime>
  <ScaleCrop>false</ScaleCrop>
  <LinksUpToDate>false</LinksUpToDate>
  <CharactersWithSpaces>2581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孟雨</cp:lastModifiedBy>
  <dcterms:modified xsi:type="dcterms:W3CDTF">2024-03-01T04:01:51Z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30D7AB9203DC428B9F36907672EDFCAB_12</vt:lpwstr>
  </property>
</Properties>
</file>