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嘉祥县卧龙山街道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办事处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卧龙山街道办事处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年12月31日止。本报告电子版可在“嘉祥县人民政府”网站（http://www.jiaxiang.gov.cn/）政府信息公开专栏查阅或下载。如对本报告有疑问，请与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卧龙山街道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嘉祥县卧龙山街道中心街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6401223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0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政务公开工作是新时代条件下贯彻群众路线的必然要求，也是全面推进法治政府的重要抓手，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卧龙山街道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发挥政务公开领导小组职能，做好牵头协调和监督检查，就政务公开工作进行多次部署，形成统筹兼顾、齐抓共管、各负其责的工作局面，进一步确保政务公开工作高质量、高标准、严要求地进行。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我街道主要通过政府门户网站公开政府信息。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始终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认真贯彻落实《中华人民共和国政府信息公开条例》，建立健全政务信息审核发布机制，严格规范信息发布，明确审核主体、审核流程。全年通过门户网站发布通知公告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条,工作动态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信息公开22条，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滚动图片1条。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256530" cy="2988310"/>
            <wp:effectExtent l="5080" t="4445" r="15240" b="17145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</w:rPr>
      </w:pPr>
      <w:r>
        <w:rPr>
          <w:rFonts w:hint="default" w:ascii="Times New Roman" w:hAnsi="Times New Roman" w:eastAsia="方正仿宋简体" w:cs="Times New Roman"/>
          <w:b/>
          <w:bCs/>
        </w:rPr>
        <w:t>2023年我</w:t>
      </w:r>
      <w:r>
        <w:rPr>
          <w:rFonts w:hint="default" w:ascii="Times New Roman" w:hAnsi="Times New Roman" w:eastAsia="方正仿宋简体" w:cs="Times New Roman"/>
          <w:b/>
          <w:bCs/>
          <w:lang w:val="en-US" w:eastAsia="zh-CN"/>
        </w:rPr>
        <w:t>街道</w:t>
      </w:r>
      <w:r>
        <w:rPr>
          <w:rFonts w:hint="default" w:ascii="Times New Roman" w:hAnsi="Times New Roman" w:eastAsia="方正仿宋简体" w:cs="Times New Roman"/>
          <w:b/>
          <w:bCs/>
        </w:rPr>
        <w:t>未收到</w:t>
      </w:r>
      <w:r>
        <w:rPr>
          <w:rFonts w:hint="eastAsia" w:ascii="Times New Roman" w:hAnsi="Times New Roman" w:eastAsia="方正仿宋简体" w:cs="Times New Roman"/>
          <w:b/>
          <w:bCs/>
          <w:lang w:val="en-US" w:eastAsia="zh-CN"/>
        </w:rPr>
        <w:t>政府信息公开申请</w:t>
      </w:r>
      <w:r>
        <w:rPr>
          <w:rFonts w:hint="default" w:ascii="Times New Roman" w:hAnsi="Times New Roman" w:eastAsia="方正仿宋简体" w:cs="Times New Roman"/>
          <w:b/>
          <w:bCs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高度重视政务信息公开工作，成立以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党工委副书记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为组长的领导小组，明确专人负责，相关科室积极配合。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加强与司法所沟通，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范制度建设，规范了信息发布工作遵循的“谁审查、谁负责，谁发布、谁负责，先审查、后发布”和“涉密信息不上网，上网信息不涉密”的原则，确保政务公开内容无涉及国家秘密和内部敏感事项。同时开展隐私排查工作，对于涉及保密、个人隐私、敏感、错别字等方面问题进行审查，切实提高信息发布质量，保障公开信息的权威性、准确性和严肃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进一步完善部门网站自身建设，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拓宽政务公开领域，扩展多形式的内容解读，加强用图解、表格、视频等简易化的表述形式，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加强政府信息内容建设工作，以适应新形势下政府信息公开要求，及时发布并更新政务信息，确保政务信息的完整性和时效性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一是加强政务信息公开队伍建设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提供人力保障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。通过参加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上级单位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组织的业务培训或主动学习其他单位的经验做法等多种途径，加强相关人员素质的培养和锻炼，提高工作人员的能力水平。二是加强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自我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监督，建立长效管理机制。进一步增强主动公开，并鼓励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机关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干部积极参与政府公开信息发布的监督，更好地服务政府、社会和群众。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0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 xml:space="preserve">     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 xml:space="preserve">  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　　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 xml:space="preserve">    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 　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 xml:space="preserve">   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 xml:space="preserve">  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 xml:space="preserve">               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 xml:space="preserve">             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 xml:space="preserve">             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 xml:space="preserve">                    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10" w:after="62" w:afterLines="10" w:line="600" w:lineRule="exact"/>
        <w:ind w:firstLine="0" w:firstLineChars="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778"/>
        <w:gridCol w:w="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546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3136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61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61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78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19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0" w:firstLineChars="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42" w:leftChars="-20" w:right="-42" w:rightChars="-20" w:firstLine="0" w:firstLineChars="0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0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kern w:val="0"/>
          <w:sz w:val="32"/>
          <w:szCs w:val="32"/>
          <w:lang w:val="en-US" w:eastAsia="zh-CN"/>
        </w:rPr>
        <w:t>（一）存在问题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一是业务人员专业性欠缺。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部分信息公开质量不高，专职人员的培训及学习有待加强。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是审核把关不严格。对内容的管理、信息发布和保密工作缺少连贯性，时而出现用词不准确的情况。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kern w:val="0"/>
          <w:sz w:val="32"/>
          <w:szCs w:val="32"/>
          <w:lang w:val="en-US" w:eastAsia="zh-CN"/>
        </w:rPr>
        <w:t>改进措施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一是加强业务培训，拓宽数字化信息化手段。政府机关在公开招聘时应增加对政务信息相关专业的人才的数量，为实绩工作提供支持。同时应考虑采取新的技术手段，如大数据、云计算等，提高信息公开的时效性、准确性和覆盖范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严格把好审核关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，建立完善的评估机制。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所有信息公开的事项需要经分管领导和主要领导审批，确保内容翔实，用词准确，做好后期维护，定期检查和日常运行维护链接的有效性。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0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（一）依据《政府信息公开信息处理费管理办法》，卧龙山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年没有收取信息处理费情况。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（二）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对于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上级年度政务公开工作要点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卧龙山街道严格按照相关要求进行梳理总结，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秉承真实有效的原则，及时准确的公开政府信息，加强平台信息化、标准化、规范化建设，明确主动公开和不予公开的信息界限，确保群众监督权真正落实到位。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）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人大代表建议和政协提案办理结果公开情况：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2023年，本单位未收到人大代表建议和政协提案。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4BB609D-8A33-4858-8D64-CC04E6165F9B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7920740-4D4E-4B9D-B875-CA4C07E0D7FD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6A6C9A3C-EE27-46CF-8D09-5CAE2245E7AE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5FDC3EB-1F70-497B-AB06-9A6BF40CB3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02D7D4D-7223-4B79-8C27-1CAC521BED2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1BE189"/>
    <w:multiLevelType w:val="singleLevel"/>
    <w:tmpl w:val="A21BE18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MWJhNjZiNDNkZDVkYjlmNTJiMTBhZTIzZGFmMjMifQ=="/>
  </w:docVars>
  <w:rsids>
    <w:rsidRoot w:val="1FFD0B50"/>
    <w:rsid w:val="01EA76BE"/>
    <w:rsid w:val="1FFD0B50"/>
    <w:rsid w:val="337C693E"/>
    <w:rsid w:val="3B7E1D91"/>
    <w:rsid w:val="43FE611D"/>
    <w:rsid w:val="745E1F8C"/>
    <w:rsid w:val="746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spacing w:line="570" w:lineRule="exact"/>
      <w:ind w:firstLine="0" w:firstLineChars="0"/>
      <w:jc w:val="left"/>
    </w:pPr>
    <w:rPr>
      <w:rFonts w:ascii="Calibri" w:hAnsi="Calibri" w:eastAsia="黑体" w:cs="Times New Roman"/>
    </w:rPr>
  </w:style>
  <w:style w:type="paragraph" w:customStyle="1" w:styleId="5">
    <w:name w:val="正文仿宋GB2312"/>
    <w:basedOn w:val="1"/>
    <w:next w:val="1"/>
    <w:autoRedefine/>
    <w:qFormat/>
    <w:uiPriority w:val="0"/>
    <w:pPr>
      <w:spacing w:line="570" w:lineRule="exact"/>
      <w:ind w:firstLine="640" w:firstLineChars="200"/>
      <w:jc w:val="left"/>
    </w:pPr>
    <w:rPr>
      <w:rFonts w:hint="eastAsia" w:ascii="仿宋_GB2312" w:hAnsi="仿宋_GB2312" w:eastAsia="仿宋_GB2312"/>
      <w:sz w:val="3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13191592172022"/>
          <c:y val="0.15958351041224"/>
          <c:w val="0.913916404928727"/>
          <c:h val="0.6379940501487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通知公告</c:v>
                </c:pt>
                <c:pt idx="1">
                  <c:v>工作动态</c:v>
                </c:pt>
                <c:pt idx="2">
                  <c:v>信息公开</c:v>
                </c:pt>
                <c:pt idx="3">
                  <c:v>滚动照片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</c:v>
                </c:pt>
                <c:pt idx="1">
                  <c:v>21</c:v>
                </c:pt>
                <c:pt idx="2">
                  <c:v>22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930912079"/>
        <c:axId val="898539711"/>
      </c:barChart>
      <c:catAx>
        <c:axId val="93091207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98539711"/>
        <c:crosses val="autoZero"/>
        <c:auto val="1"/>
        <c:lblAlgn val="ctr"/>
        <c:lblOffset val="100"/>
        <c:noMultiLvlLbl val="0"/>
      </c:catAx>
      <c:valAx>
        <c:axId val="8985397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09120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2455</Words>
  <Characters>2537</Characters>
  <Lines>0</Lines>
  <Paragraphs>0</Paragraphs>
  <TotalTime>1</TotalTime>
  <ScaleCrop>false</ScaleCrop>
  <LinksUpToDate>false</LinksUpToDate>
  <CharactersWithSpaces>2662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2024-01-12T01:50:00Z</dcterms:created>
  <dc:creator>建树</dc:creator>
  <cp:lastModifiedBy>淼</cp:lastModifiedBy>
  <dcterms:modified xsi:type="dcterms:W3CDTF">2024-03-01T03:42:00Z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8269DBD71A854E29A179A1671537DD8D_13</vt:lpwstr>
  </property>
</Properties>
</file>