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嘉祥县财政局</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本报告由嘉祥县财政局按照《中华人民共和国政府信息公开条例》（以下简称《条例》）和《中华人民共和国政府信息公开工作年度报告格式》（国办公开办函〔2021〕30号）要求编制。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本报告所列数据的统计期限自2022年1月1日起至2022年12月31日止。本报告电子版可在嘉祥县人民政府网站（http://www.jiaxiang.gov.cn/）查阅或下载。如对本报告有疑问，请与嘉祥县财政局联系（地址：嘉祥县呈祥大道101号，联系电话：0537-6506006）。</w:t>
      </w:r>
    </w:p>
    <w:p>
      <w:pPr>
        <w:spacing w:line="590" w:lineRule="exact"/>
        <w:ind w:right="-105" w:rightChars="-50" w:firstLine="643" w:firstLineChars="200"/>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t>一、总体情况</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（一）</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坚持“以公开为常态，不公开为例外”，深化公开内容，加大主动公开力度。在政务公开网站及时更新</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法规文件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、财政预算决算、政府采购、行政执法公示、财政资金直达基层、行政事业性收费目录、减税降费等内容。2022年更新发布财政信息174条。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266700</wp:posOffset>
            </wp:positionH>
            <wp:positionV relativeFrom="paragraph">
              <wp:posOffset>-628650</wp:posOffset>
            </wp:positionV>
            <wp:extent cx="5273040" cy="3094355"/>
            <wp:effectExtent l="0" t="0" r="3810" b="1079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273040" cy="3094355"/>
                    </a:xfrm>
                    <a:prstGeom prst="rect">
                      <a:avLst/>
                    </a:prstGeom>
                    <a:noFill/>
                    <a:ln>
                      <a:noFill/>
                    </a:ln>
                  </pic:spPr>
                </pic:pic>
              </a:graphicData>
            </a:graphic>
          </wp:anchor>
        </w:drawing>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年，我局新收依申请公开</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3</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件，办结</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3</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均在法定期限内予以答复。其中，予以公开1件，因本机关保护第三方合法权益原因无法提供2件。</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三</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除涉密部门外，县级部门（单位）部门预决算和政府预决算均在政府门户网站设立的“财政预决算公开平台”集中公开，公开率达100%</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同时，以工作会议、工作提示、工作检查、上门指导等方式，帮助街镇和预算单位结合各自实际，认真做好本级政府、部门的财政信息公开工作。以预决算信息公开专项检查为有力抓手，全面提高全县财政信息公开工作水平。</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县财政监督检查部门于202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年对政府及全县预算部门的202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1</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年决算和202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年预算信息公开情况进行全面排查和动态监督，范围覆盖所有县内负责编制政府或部门预决算信息的部门和单位，覆盖面达100%。</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我单位不断推进信息公开平台建设，按照“</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明确行政权责、优化权力运行、简化办理流程、方便群众办事</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原则，制定了嘉祥县财政局政务信息公开目录，设置了法规文件、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重点领域、会议公开、主动公开目录、业务信息、其他法定信息、财政预算决算、政府采购、基层政务公开标准目录、行政执法公示、财政资金直达基层、行政事业性收费目录、减税降费13</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个大类，极大地方便了信息使用者的查阅和索取。</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五</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进一步明确政府信息公开的程序和规范，完善工作制度，落实工作责任，形成由办公室总牵头、指导、协调、监督全局的政府信息公开工作，各业务科室公开专业领域信息，全局其他科室协同配合的工作格局。每次信息公开由分管领导进行审核，坚持“谁供稿、谁负责”，确保责任到人，有效地促进了政务公开工作的顺利开展。截至目前，我局无一例政府信息公开失密、泄密事件发生，未接到政务公开相关举报、投诉、行政复议或行政诉讼等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宋体" w:hAnsi="宋体" w:eastAsia="宋体" w:cs="宋体"/>
          <w:i w:val="0"/>
          <w:iCs w:val="0"/>
          <w:caps w:val="0"/>
          <w:color w:val="8E8E8E"/>
          <w:spacing w:val="0"/>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宋体" w:hAnsi="宋体" w:eastAsia="宋体" w:cs="宋体"/>
          <w:i w:val="0"/>
          <w:iCs w:val="0"/>
          <w:caps w:val="0"/>
          <w:color w:val="8E8E8E"/>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宋体" w:hAnsi="宋体" w:eastAsia="宋体" w:cs="宋体"/>
          <w:i w:val="0"/>
          <w:iCs w:val="0"/>
          <w:caps w:val="0"/>
          <w:color w:val="8E8E8E"/>
          <w:spacing w:val="0"/>
          <w:sz w:val="21"/>
          <w:szCs w:val="21"/>
          <w:shd w:val="clear" w:fill="FFFFFF"/>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14:textFill>
            <w14:solidFill>
              <w14:schemeClr w14:val="tx1"/>
            </w14:solidFill>
          </w14:textFill>
        </w:rPr>
        <w:t>二、主动公开政府信息情况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黑体简体" w:hAnsi="黑体" w:eastAsia="方正黑体简体" w:cs="宋体"/>
                <w:b/>
                <w:color w:val="000000"/>
                <w:kern w:val="0"/>
                <w:sz w:val="24"/>
                <w:szCs w:val="24"/>
              </w:rPr>
            </w:pPr>
            <w:r>
              <w:rPr>
                <w:rFonts w:hint="eastAsia" w:ascii="方正黑体简体" w:hAnsi="黑体" w:eastAsia="方正黑体简体" w:cs="宋体"/>
                <w:b/>
                <w:color w:val="000000"/>
                <w:kern w:val="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信息内容</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本年制发件数</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本年废止件数</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规章</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color w:val="000000"/>
                <w:kern w:val="0"/>
                <w:sz w:val="24"/>
                <w:szCs w:val="24"/>
                <w:lang w:val="en-US" w:eastAsia="zh-CN"/>
              </w:rPr>
            </w:pPr>
            <w:r>
              <w:rPr>
                <w:rFonts w:hint="eastAsia" w:ascii="方正仿宋简体" w:hAnsi="宋体" w:eastAsia="方正仿宋简体" w:cs="宋体"/>
                <w:b/>
                <w:color w:val="000000"/>
                <w:kern w:val="0"/>
                <w:sz w:val="24"/>
                <w:szCs w:val="24"/>
              </w:rPr>
              <w:t>　　</w:t>
            </w:r>
            <w:r>
              <w:rPr>
                <w:rFonts w:hint="eastAsia" w:ascii="方正仿宋简体" w:hAnsi="宋体" w:eastAsia="方正仿宋简体" w:cs="宋体"/>
                <w:b/>
                <w:color w:val="000000"/>
                <w:kern w:val="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color w:val="000000"/>
                <w:kern w:val="0"/>
                <w:sz w:val="24"/>
                <w:szCs w:val="24"/>
                <w:lang w:val="en-US" w:eastAsia="zh-CN"/>
              </w:rPr>
            </w:pPr>
            <w:r>
              <w:rPr>
                <w:rFonts w:hint="eastAsia" w:ascii="方正仿宋简体" w:hAnsi="宋体" w:eastAsia="方正仿宋简体" w:cs="宋体"/>
                <w:b/>
                <w:color w:val="000000"/>
                <w:kern w:val="0"/>
                <w:sz w:val="24"/>
                <w:szCs w:val="24"/>
              </w:rPr>
              <w:t> 　</w:t>
            </w:r>
            <w:r>
              <w:rPr>
                <w:rFonts w:hint="eastAsia" w:ascii="方正仿宋简体" w:hAnsi="宋体" w:eastAsia="方正仿宋简体" w:cs="宋体"/>
                <w:b/>
                <w:color w:val="000000"/>
                <w:kern w:val="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Calibri" w:eastAsia="方正仿宋简体" w:cs="Calibri"/>
                <w:b/>
                <w:color w:val="000000"/>
                <w:kern w:val="0"/>
                <w:sz w:val="24"/>
                <w:szCs w:val="24"/>
                <w:lang w:val="en-US" w:eastAsia="zh-CN"/>
              </w:rPr>
            </w:pPr>
            <w:r>
              <w:rPr>
                <w:rFonts w:hint="eastAsia" w:ascii="方正仿宋简体" w:hAnsi="Calibri" w:eastAsia="方正仿宋简体" w:cs="Calibri"/>
                <w:b/>
                <w:color w:val="000000"/>
                <w:kern w:val="0"/>
                <w:sz w:val="24"/>
                <w:szCs w:val="24"/>
              </w:rPr>
              <w:t>　</w:t>
            </w:r>
            <w:r>
              <w:rPr>
                <w:rFonts w:hint="eastAsia" w:ascii="方正仿宋简体" w:hAnsi="Calibri" w:eastAsia="方正仿宋简体" w:cs="Calibri"/>
                <w:b/>
                <w:color w:val="000000"/>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行政规范性文件</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color w:val="000000"/>
                <w:kern w:val="0"/>
                <w:sz w:val="24"/>
                <w:szCs w:val="24"/>
                <w:lang w:val="en-US" w:eastAsia="zh-CN"/>
              </w:rPr>
            </w:pPr>
            <w:r>
              <w:rPr>
                <w:rFonts w:hint="eastAsia" w:ascii="方正仿宋简体" w:hAnsi="宋体" w:eastAsia="方正仿宋简体" w:cs="宋体"/>
                <w:b/>
                <w:color w:val="000000"/>
                <w:kern w:val="0"/>
                <w:sz w:val="24"/>
                <w:szCs w:val="24"/>
              </w:rPr>
              <w:t>　　</w:t>
            </w:r>
            <w:r>
              <w:rPr>
                <w:rFonts w:hint="eastAsia" w:ascii="方正仿宋简体" w:hAnsi="宋体" w:eastAsia="方正仿宋简体" w:cs="宋体"/>
                <w:b/>
                <w:color w:val="000000"/>
                <w:kern w:val="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color w:val="000000"/>
                <w:kern w:val="0"/>
                <w:sz w:val="24"/>
                <w:szCs w:val="24"/>
                <w:lang w:val="en-US" w:eastAsia="zh-CN"/>
              </w:rPr>
            </w:pPr>
            <w:r>
              <w:rPr>
                <w:rFonts w:hint="eastAsia" w:ascii="方正仿宋简体" w:hAnsi="宋体" w:eastAsia="方正仿宋简体" w:cs="宋体"/>
                <w:b/>
                <w:color w:val="000000"/>
                <w:kern w:val="0"/>
                <w:sz w:val="24"/>
                <w:szCs w:val="24"/>
              </w:rPr>
              <w:t> 　</w:t>
            </w:r>
            <w:r>
              <w:rPr>
                <w:rFonts w:hint="eastAsia" w:ascii="方正仿宋简体" w:hAnsi="宋体" w:eastAsia="方正仿宋简体" w:cs="宋体"/>
                <w:b/>
                <w:color w:val="000000"/>
                <w:kern w:val="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Calibri" w:eastAsia="方正仿宋简体" w:cs="Calibri"/>
                <w:b/>
                <w:color w:val="000000"/>
                <w:kern w:val="0"/>
                <w:sz w:val="24"/>
                <w:szCs w:val="24"/>
                <w:lang w:val="en-US" w:eastAsia="zh-CN"/>
              </w:rPr>
            </w:pPr>
            <w:r>
              <w:rPr>
                <w:rFonts w:hint="eastAsia" w:ascii="方正仿宋简体" w:hAnsi="Calibri" w:eastAsia="方正仿宋简体" w:cs="Calibri"/>
                <w:b/>
                <w:color w:val="000000"/>
                <w:kern w:val="0"/>
                <w:sz w:val="24"/>
                <w:szCs w:val="24"/>
              </w:rPr>
              <w:t>　</w:t>
            </w:r>
            <w:r>
              <w:rPr>
                <w:rFonts w:hint="eastAsia" w:ascii="方正仿宋简体" w:hAnsi="Calibri" w:eastAsia="方正仿宋简体" w:cs="Calibri"/>
                <w:b/>
                <w:color w:val="000000"/>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color w:val="000000"/>
                <w:kern w:val="0"/>
                <w:sz w:val="24"/>
                <w:szCs w:val="24"/>
              </w:rPr>
            </w:pPr>
            <w:r>
              <w:rPr>
                <w:rFonts w:hint="eastAsia" w:ascii="方正黑体简体" w:hAnsi="黑体" w:eastAsia="方正黑体简体" w:cs="宋体"/>
                <w:b/>
                <w:color w:val="000000"/>
                <w:kern w:val="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行政许可</w:t>
            </w:r>
          </w:p>
        </w:tc>
        <w:tc>
          <w:tcPr>
            <w:tcW w:w="6618" w:type="dxa"/>
            <w:gridSpan w:val="3"/>
            <w:shd w:val="clear" w:color="auto" w:fill="FFFFFF" w:themeFill="background1"/>
            <w:vAlign w:val="center"/>
          </w:tcPr>
          <w:p>
            <w:pPr>
              <w:widowControl/>
              <w:spacing w:line="340" w:lineRule="exact"/>
              <w:jc w:val="left"/>
              <w:rPr>
                <w:rFonts w:hint="eastAsia" w:ascii="方正仿宋简体" w:hAnsi="Calibri" w:eastAsia="方正仿宋简体" w:cs="Calibri"/>
                <w:b/>
                <w:color w:val="000000"/>
                <w:kern w:val="0"/>
                <w:sz w:val="24"/>
                <w:szCs w:val="24"/>
                <w:lang w:val="en-US" w:eastAsia="zh-CN"/>
              </w:rPr>
            </w:pPr>
            <w:r>
              <w:rPr>
                <w:rFonts w:hint="eastAsia" w:ascii="方正仿宋简体" w:hAnsi="Calibri" w:eastAsia="方正仿宋简体" w:cs="Calibri"/>
                <w:b/>
                <w:color w:val="000000"/>
                <w:kern w:val="0"/>
                <w:sz w:val="24"/>
                <w:szCs w:val="24"/>
              </w:rPr>
              <w:t>　</w:t>
            </w:r>
            <w:r>
              <w:rPr>
                <w:rFonts w:hint="eastAsia" w:ascii="方正仿宋简体" w:hAnsi="Calibri" w:eastAsia="方正仿宋简体" w:cs="Calibri"/>
                <w:b/>
                <w:color w:val="000000"/>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color w:val="000000"/>
                <w:kern w:val="0"/>
                <w:sz w:val="24"/>
                <w:szCs w:val="24"/>
              </w:rPr>
            </w:pPr>
            <w:r>
              <w:rPr>
                <w:rFonts w:hint="eastAsia" w:ascii="方正黑体简体" w:hAnsi="黑体" w:eastAsia="方正黑体简体" w:cs="宋体"/>
                <w:b/>
                <w:color w:val="000000"/>
                <w:kern w:val="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行政处罚</w:t>
            </w:r>
          </w:p>
        </w:tc>
        <w:tc>
          <w:tcPr>
            <w:tcW w:w="6618" w:type="dxa"/>
            <w:gridSpan w:val="3"/>
            <w:shd w:val="clear" w:color="auto" w:fill="FFFFFF" w:themeFill="background1"/>
            <w:vAlign w:val="center"/>
          </w:tcPr>
          <w:p>
            <w:pPr>
              <w:widowControl/>
              <w:spacing w:line="340" w:lineRule="exact"/>
              <w:jc w:val="left"/>
              <w:rPr>
                <w:rFonts w:hint="eastAsia" w:ascii="方正仿宋简体" w:hAnsi="宋体" w:eastAsia="方正仿宋简体" w:cs="宋体"/>
                <w:b/>
                <w:color w:val="000000"/>
                <w:kern w:val="0"/>
                <w:sz w:val="24"/>
                <w:szCs w:val="24"/>
                <w:lang w:val="en-US" w:eastAsia="zh-CN"/>
              </w:rPr>
            </w:pPr>
            <w:r>
              <w:rPr>
                <w:rFonts w:hint="eastAsia" w:ascii="方正仿宋简体" w:hAnsi="宋体" w:eastAsia="方正仿宋简体" w:cs="宋体"/>
                <w:b/>
                <w:color w:val="000000"/>
                <w:kern w:val="0"/>
                <w:sz w:val="24"/>
                <w:szCs w:val="24"/>
              </w:rPr>
              <w:t>　</w:t>
            </w:r>
            <w:r>
              <w:rPr>
                <w:rFonts w:hint="eastAsia" w:ascii="方正仿宋简体" w:hAnsi="宋体" w:eastAsia="方正仿宋简体" w:cs="宋体"/>
                <w:b/>
                <w:color w:val="000000"/>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行政强制</w:t>
            </w:r>
          </w:p>
        </w:tc>
        <w:tc>
          <w:tcPr>
            <w:tcW w:w="6618" w:type="dxa"/>
            <w:gridSpan w:val="3"/>
            <w:shd w:val="clear" w:color="auto" w:fill="FFFFFF" w:themeFill="background1"/>
            <w:vAlign w:val="center"/>
          </w:tcPr>
          <w:p>
            <w:pPr>
              <w:widowControl/>
              <w:spacing w:line="340" w:lineRule="exact"/>
              <w:jc w:val="left"/>
              <w:rPr>
                <w:rFonts w:hint="eastAsia" w:ascii="方正仿宋简体" w:hAnsi="宋体" w:eastAsia="方正仿宋简体" w:cs="宋体"/>
                <w:b/>
                <w:color w:val="000000"/>
                <w:kern w:val="0"/>
                <w:sz w:val="24"/>
                <w:szCs w:val="24"/>
                <w:lang w:val="en-US" w:eastAsia="zh-CN"/>
              </w:rPr>
            </w:pPr>
            <w:r>
              <w:rPr>
                <w:rFonts w:hint="eastAsia" w:ascii="方正仿宋简体" w:hAnsi="宋体" w:eastAsia="方正仿宋简体" w:cs="宋体"/>
                <w:b/>
                <w:color w:val="000000"/>
                <w:kern w:val="0"/>
                <w:sz w:val="24"/>
                <w:szCs w:val="24"/>
              </w:rPr>
              <w:t>　</w:t>
            </w:r>
            <w:r>
              <w:rPr>
                <w:rFonts w:hint="eastAsia" w:ascii="方正仿宋简体" w:hAnsi="宋体" w:eastAsia="方正仿宋简体" w:cs="宋体"/>
                <w:b/>
                <w:color w:val="000000"/>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color w:val="000000"/>
                <w:kern w:val="0"/>
                <w:sz w:val="24"/>
                <w:szCs w:val="24"/>
              </w:rPr>
            </w:pPr>
            <w:r>
              <w:rPr>
                <w:rFonts w:hint="eastAsia" w:ascii="方正黑体简体" w:hAnsi="黑体" w:eastAsia="方正黑体简体" w:cs="宋体"/>
                <w:b/>
                <w:color w:val="000000"/>
                <w:kern w:val="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kern w:val="0"/>
                <w:sz w:val="24"/>
                <w:szCs w:val="24"/>
              </w:rPr>
            </w:pPr>
            <w:r>
              <w:rPr>
                <w:rFonts w:hint="eastAsia" w:ascii="方正仿宋简体" w:hAnsi="宋体" w:eastAsia="方正仿宋简体" w:cs="宋体"/>
                <w:b/>
                <w:color w:val="000000"/>
                <w:kern w:val="0"/>
                <w:sz w:val="24"/>
                <w:szCs w:val="24"/>
              </w:rPr>
              <w:t>行政事业性收费</w:t>
            </w:r>
          </w:p>
        </w:tc>
        <w:tc>
          <w:tcPr>
            <w:tcW w:w="6618" w:type="dxa"/>
            <w:gridSpan w:val="3"/>
            <w:shd w:val="clear" w:color="auto" w:fill="FFFFFF" w:themeFill="background1"/>
            <w:vAlign w:val="center"/>
          </w:tcPr>
          <w:p>
            <w:pPr>
              <w:widowControl/>
              <w:spacing w:line="340" w:lineRule="exact"/>
              <w:jc w:val="left"/>
              <w:rPr>
                <w:rFonts w:hint="eastAsia" w:ascii="方正仿宋简体" w:hAnsi="Calibri" w:eastAsia="方正仿宋简体" w:cs="Calibri"/>
                <w:b/>
                <w:color w:val="000000"/>
                <w:kern w:val="0"/>
                <w:sz w:val="24"/>
                <w:szCs w:val="24"/>
                <w:lang w:eastAsia="zh-CN"/>
              </w:rPr>
            </w:pPr>
            <w:r>
              <w:rPr>
                <w:rFonts w:hint="eastAsia" w:ascii="方正仿宋简体" w:hAnsi="Calibri" w:eastAsia="方正仿宋简体" w:cs="Calibri"/>
                <w:b/>
                <w:color w:val="000000"/>
                <w:kern w:val="0"/>
                <w:sz w:val="24"/>
                <w:szCs w:val="24"/>
              </w:rPr>
              <w:t>　</w:t>
            </w:r>
            <w:r>
              <w:rPr>
                <w:rFonts w:hint="eastAsia" w:ascii="方正仿宋简体" w:hAnsi="Calibri" w:eastAsia="方正仿宋简体" w:cs="Calibri"/>
                <w:b/>
                <w:color w:val="000000"/>
                <w:kern w:val="0"/>
                <w:sz w:val="24"/>
                <w:szCs w:val="24"/>
                <w:lang w:val="en-US" w:eastAsia="zh-CN"/>
              </w:rPr>
              <w:t>0</w:t>
            </w:r>
          </w:p>
        </w:tc>
      </w:tr>
    </w:tbl>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spacing w:line="590" w:lineRule="exact"/>
        <w:ind w:right="-105" w:rightChars="-50"/>
        <w:rPr>
          <w:rStyle w:val="7"/>
          <w:rFonts w:ascii="黑体" w:hAnsi="宋体" w:eastAsia="黑体" w:cs="黑体"/>
          <w:i w:val="0"/>
          <w:iCs w:val="0"/>
          <w:caps w:val="0"/>
          <w:color w:val="333333"/>
          <w:spacing w:val="0"/>
          <w:sz w:val="31"/>
          <w:szCs w:val="31"/>
          <w:shd w:val="clear" w:fill="FFFFFF"/>
        </w:rPr>
      </w:pPr>
    </w:p>
    <w:p>
      <w:pPr>
        <w:numPr>
          <w:ilvl w:val="0"/>
          <w:numId w:val="1"/>
        </w:numPr>
        <w:spacing w:line="590" w:lineRule="exact"/>
        <w:ind w:right="-105" w:rightChars="-50" w:firstLine="643" w:firstLineChars="20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收到和处理政府信息公开申请情况</w:t>
      </w:r>
    </w:p>
    <w:tbl>
      <w:tblPr>
        <w:tblStyle w:val="5"/>
        <w:tblpPr w:leftFromText="180" w:rightFromText="180" w:vertAnchor="text" w:horzAnchor="page" w:tblpX="1585" w:tblpY="586"/>
        <w:tblOverlap w:val="never"/>
        <w:tblW w:w="90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2"/>
        <w:gridCol w:w="854"/>
        <w:gridCol w:w="2074"/>
        <w:gridCol w:w="807"/>
        <w:gridCol w:w="747"/>
        <w:gridCol w:w="747"/>
        <w:gridCol w:w="807"/>
        <w:gridCol w:w="971"/>
        <w:gridCol w:w="718"/>
        <w:gridCol w:w="7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56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（本列数据的勾稽关系为：第一项加第二项之和，等于第三项加第四项之和）</w:t>
            </w:r>
          </w:p>
        </w:tc>
        <w:tc>
          <w:tcPr>
            <w:tcW w:w="5515"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56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07"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自然人</w:t>
            </w:r>
          </w:p>
        </w:tc>
        <w:tc>
          <w:tcPr>
            <w:tcW w:w="399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法人或其他组织</w:t>
            </w:r>
          </w:p>
        </w:tc>
        <w:tc>
          <w:tcPr>
            <w:tcW w:w="718"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56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0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商业企业</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科研机构</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社会公益组织</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法律服务机构</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其他</w:t>
            </w:r>
          </w:p>
        </w:tc>
        <w:tc>
          <w:tcPr>
            <w:tcW w:w="718"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56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一、本年新收政府信息公开申请数量</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2</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56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二、上年结转政府信息公开申请数量</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三、本年度办理结果</w:t>
            </w:r>
          </w:p>
        </w:tc>
        <w:tc>
          <w:tcPr>
            <w:tcW w:w="29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（一）予以公开</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9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（二）部分公开（区分处理的，只计这一情形，不计其他情形）</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（三）不予公开</w:t>
            </w: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1.属于国家秘密</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2.其他法律行政法规禁止公开</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3.危及“三安全一稳定”</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4.保护第三方合法权益</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5.属于三类内部事务信息</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6.属于四类过程性信息</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7.属于行政执法案卷</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8.属于行政查询事项</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（四）无法提供</w:t>
            </w: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1.本机关不掌握相关政府信息</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2.没有现成信息需要另行制作</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3.补正后申请内容仍不明确</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（五）不予处理</w:t>
            </w: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1.信访举报投诉类申请</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2.重复申请</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3.要求提供公开出版物</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4.无正当理由大量反复申请</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854"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074"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5.要求行政机关确认或重新出具已获取信息</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9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（六）其他处理</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p>
        </w:tc>
        <w:tc>
          <w:tcPr>
            <w:tcW w:w="29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（七）总计</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1</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default"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2</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56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四、结转下年度继续办理</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4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807"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971"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c>
          <w:tcPr>
            <w:tcW w:w="718" w:type="dxa"/>
            <w:tcBorders>
              <w:top w:val="nil"/>
              <w:left w:val="nil"/>
              <w:bottom w:val="single" w:color="auto" w:sz="6" w:space="0"/>
              <w:right w:val="single" w:color="auto" w:sz="6" w:space="0"/>
            </w:tcBorders>
            <w:shd w:val="clear" w:color="auto" w:fill="auto"/>
            <w:tcMar>
              <w:left w:w="105" w:type="dxa"/>
              <w:right w:w="105" w:type="dxa"/>
            </w:tcMar>
            <w:vAlign w:val="center"/>
          </w:tcPr>
          <w:p>
            <w:pPr>
              <w:spacing w:line="300" w:lineRule="exact"/>
              <w:rPr>
                <w:rFonts w:hint="eastAsia" w:ascii="方正仿宋简体" w:hAnsi="Times New Roman" w:eastAsia="方正仿宋简体" w:cs="Times New Roman"/>
                <w:b/>
                <w:kern w:val="0"/>
                <w:sz w:val="21"/>
                <w:szCs w:val="21"/>
                <w:lang w:val="en-US" w:eastAsia="zh-CN"/>
              </w:rPr>
            </w:pPr>
            <w:r>
              <w:rPr>
                <w:rFonts w:hint="default" w:ascii="方正仿宋简体" w:hAnsi="Times New Roman" w:eastAsia="方正仿宋简体" w:cs="Times New Roman"/>
                <w:b/>
                <w:kern w:val="0"/>
                <w:sz w:val="21"/>
                <w:szCs w:val="21"/>
                <w:lang w:val="en-US" w:eastAsia="zh-CN"/>
              </w:rPr>
              <w:t>0</w:t>
            </w:r>
          </w:p>
        </w:tc>
      </w:tr>
    </w:tbl>
    <w:p>
      <w:pPr>
        <w:numPr>
          <w:ilvl w:val="0"/>
          <w:numId w:val="0"/>
        </w:numPr>
        <w:spacing w:line="590" w:lineRule="exact"/>
        <w:ind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黑体简体" w:hAnsi="Times New Roman" w:eastAsia="方正黑体简体" w:cs="Times New Roman"/>
          <w:b/>
          <w:kern w:val="0"/>
          <w:sz w:val="32"/>
          <w:szCs w:val="32"/>
        </w:rPr>
      </w:pPr>
    </w:p>
    <w:p>
      <w:pPr>
        <w:numPr>
          <w:ilvl w:val="0"/>
          <w:numId w:val="1"/>
        </w:numPr>
        <w:spacing w:line="590" w:lineRule="exact"/>
        <w:ind w:left="0" w:leftChars="0" w:right="-105" w:rightChars="-50" w:firstLine="643" w:firstLineChars="20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政府信息公开行政复议、行政诉讼情况</w:t>
      </w:r>
    </w:p>
    <w:p>
      <w:pPr>
        <w:numPr>
          <w:ilvl w:val="0"/>
          <w:numId w:val="0"/>
        </w:numPr>
        <w:spacing w:line="590" w:lineRule="exact"/>
        <w:ind w:leftChars="200"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结果</w:t>
            </w:r>
          </w:p>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其他</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尚未</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结果</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结果</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其他</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尚未</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结果</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结果</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其他</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尚未</w:t>
            </w:r>
            <w:r>
              <w:rPr>
                <w:rFonts w:hint="eastAsia" w:ascii="方正黑体简体" w:hAnsi="宋体" w:eastAsia="方正黑体简体" w:cs="黑体"/>
                <w:b/>
                <w:kern w:val="0"/>
                <w:sz w:val="21"/>
                <w:szCs w:val="21"/>
                <w:lang w:bidi="ar"/>
              </w:rPr>
              <w:br w:type="textWrapping"/>
            </w:r>
            <w:r>
              <w:rPr>
                <w:rFonts w:hint="eastAsia" w:ascii="方正黑体简体" w:hAnsi="宋体" w:eastAsia="方正黑体简体" w:cs="黑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bidi="ar"/>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黑体"/>
                <w:b/>
                <w:kern w:val="0"/>
                <w:sz w:val="21"/>
                <w:szCs w:val="21"/>
                <w:lang w:val="en-US" w:eastAsia="zh-CN" w:bidi="ar"/>
              </w:rPr>
            </w:pPr>
            <w:r>
              <w:rPr>
                <w:rFonts w:hint="eastAsia" w:ascii="方正黑体简体" w:hAnsi="宋体" w:eastAsia="方正黑体简体" w:cs="黑体"/>
                <w:b/>
                <w:kern w:val="0"/>
                <w:sz w:val="21"/>
                <w:szCs w:val="21"/>
                <w:lang w:val="en-US" w:eastAsia="zh-CN" w:bidi="ar"/>
              </w:rPr>
              <w:t>0</w:t>
            </w:r>
          </w:p>
        </w:tc>
      </w:tr>
    </w:tbl>
    <w:p>
      <w:pPr>
        <w:spacing w:line="590" w:lineRule="exact"/>
        <w:ind w:right="-105" w:rightChars="-50"/>
        <w:rPr>
          <w:rFonts w:hint="eastAsia" w:ascii="方正黑体简体" w:hAnsi="Times New Roman" w:eastAsia="方正黑体简体" w:cs="Times New Roman"/>
          <w:b/>
          <w:kern w:val="0"/>
          <w:sz w:val="32"/>
          <w:szCs w:val="32"/>
        </w:rPr>
      </w:pPr>
    </w:p>
    <w:p>
      <w:pPr>
        <w:numPr>
          <w:ilvl w:val="0"/>
          <w:numId w:val="1"/>
        </w:numPr>
        <w:spacing w:line="590" w:lineRule="exact"/>
        <w:ind w:left="0" w:leftChars="0" w:right="-105" w:rightChars="-50" w:firstLine="643" w:firstLineChars="20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存在的主要问题及改进情况</w:t>
      </w:r>
    </w:p>
    <w:p>
      <w:pPr>
        <w:numPr>
          <w:ilvl w:val="0"/>
          <w:numId w:val="0"/>
        </w:numPr>
        <w:spacing w:line="590" w:lineRule="exact"/>
        <w:ind w:leftChars="200"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2022年，我单位信息公开工作取得了新的进展，但同时也存在一些问题。个别科室对政府信息公开工作重要性认识不足，推动政务公开和政府信息公开的力度不够，公开内容不具体，重点不突出，政务公开工作还不够深入，同时，政府信息公开队伍力量不足。今后，我们将采取以下措施积极改进：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完善公开机制。结合单位实际情况，制定2023年嘉祥县财政政务公开工作计划，细化目标责任，精心组织实施，在深化完善和巩固提高上下功夫。按照县政府关于政务公开工作的要求和部署，严格做好公开工作，使我单位政务公开工作更加规范，使政务公开工作在改善政务环境，服务经济社会发挥更大的作用，同时，认真创新政务公开工作的新形式、新途径、新方法，充分发挥宣传栏、广播、网络等媒体作用，进一步扩大政务公开的覆盖面，增强政务公开的实效性。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细化公开内容。学习先进部门的做法，结合我单位实际情况，做好</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法规文件、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重点领域、财政预算决算、政府采购、财政资金直达基层、行政事业性收费目录、减税降费等内容的公开，突破工作瓶颈，深化细化公开内容。继续抓好主动公开和依申请公开工作，规范公开的内容、时限和程序。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提高公开水平。政务公开工作涉及面广，协调性强，新的一年，我们将加强多方联动，畅通沟通渠道，加强与上级部门、其他镇街、部门单位的联系，强化政务信息公开队伍力量建设的基础上，及时掌握在推进政务公开工作方面的好经验、好做法，增强工作针对性，提高政务公开工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Style w:val="7"/>
          <w:rFonts w:hint="eastAsia" w:ascii="仿宋_GB2312" w:hAnsi="微软雅黑" w:eastAsia="仿宋_GB2312" w:cs="仿宋_GB2312"/>
          <w:i w:val="0"/>
          <w:iCs w:val="0"/>
          <w:caps w:val="0"/>
          <w:color w:val="333333"/>
          <w:spacing w:val="0"/>
          <w:sz w:val="31"/>
          <w:szCs w:val="31"/>
          <w:shd w:val="clear" w:fill="FFFFFF"/>
        </w:rPr>
      </w:pPr>
    </w:p>
    <w:p>
      <w:pPr>
        <w:numPr>
          <w:ilvl w:val="0"/>
          <w:numId w:val="1"/>
        </w:numPr>
        <w:spacing w:line="590" w:lineRule="exact"/>
        <w:ind w:left="0" w:leftChars="0" w:right="-105" w:rightChars="-50" w:firstLine="643" w:firstLineChars="20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其他需要报告的事项</w:t>
      </w:r>
    </w:p>
    <w:p>
      <w:pPr>
        <w:numPr>
          <w:ilvl w:val="0"/>
          <w:numId w:val="0"/>
        </w:numPr>
        <w:spacing w:line="590" w:lineRule="exact"/>
        <w:ind w:leftChars="200" w:right="-105" w:rightChars="-50"/>
        <w:rPr>
          <w:rFonts w:hint="eastAsia" w:ascii="方正黑体简体" w:hAnsi="Times New Roman" w:eastAsia="方正黑体简体"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（一）人大代表建议和政协委员提案办理结果公开情况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根据《山东省人民政府办公厅关于做好人大代表建议和政协提案办理结果公开工作的通知》（鲁政办字〔2016〕63号）要求，全省各级、各部门高度重视建议和提案办理结果公开工作。我单位202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年共办理人大代表建议0件、政协提案0件。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（二）依据《政府信息公开信息处理费管理办法》，财政局202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年没有收取信息处理费情况。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（三）落实上级年度政务公开工作要点情况。</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嘉祥县财政</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局聚焦财政重点工作，及时向社会公开了经批准的预算、预算调整、决算、预算执行情况的报告和报表加大了对各部门预决算公开标准化、规范化的指导能力。及时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了</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做好</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减税降费，优化营商环境</w:t>
      </w:r>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等重大政策信息</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的</w:t>
      </w:r>
      <w:bookmarkStart w:id="0" w:name="_GoBack"/>
      <w:bookmarkEnd w:id="0"/>
      <w:r>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发布</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四）本行政机关年度政务公开工作创新情况。今年以来,县财政局充分依托信息化手段，努力探索创新便捷高效、方式多元、资源最优的政务公开模式，通过扩宽政务公开渠道，细化政务公开内容，线上线下共同发力等措施确保政务公开工作更精准、更智能、更便民。</w:t>
      </w:r>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0EF11"/>
    <w:multiLevelType w:val="singleLevel"/>
    <w:tmpl w:val="DA10EF11"/>
    <w:lvl w:ilvl="0" w:tentative="0">
      <w:start w:val="3"/>
      <w:numFmt w:val="chineseCounting"/>
      <w:suff w:val="nothing"/>
      <w:lvlText w:val="%1、"/>
      <w:lvlJc w:val="left"/>
      <w:rPr>
        <w:rFonts w:hint="eastAsia"/>
      </w:rPr>
    </w:lvl>
  </w:abstractNum>
  <w:abstractNum w:abstractNumId="1">
    <w:nsid w:val="3C554BD3"/>
    <w:multiLevelType w:val="singleLevel"/>
    <w:tmpl w:val="3C554BD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NzI5ZTg5MzVlZDJkZDQ2MDgxZTRhOTllMGQ1ZjMifQ=="/>
  </w:docVars>
  <w:rsids>
    <w:rsidRoot w:val="00000000"/>
    <w:rsid w:val="00CC0637"/>
    <w:rsid w:val="02181129"/>
    <w:rsid w:val="0F720B69"/>
    <w:rsid w:val="12DD3F9F"/>
    <w:rsid w:val="13E07BAD"/>
    <w:rsid w:val="14923E98"/>
    <w:rsid w:val="22147963"/>
    <w:rsid w:val="23820B59"/>
    <w:rsid w:val="249900F7"/>
    <w:rsid w:val="26297825"/>
    <w:rsid w:val="273D0B66"/>
    <w:rsid w:val="2BBB2AD2"/>
    <w:rsid w:val="2C2D6BBA"/>
    <w:rsid w:val="2D700A26"/>
    <w:rsid w:val="2F5C1DA5"/>
    <w:rsid w:val="345D372E"/>
    <w:rsid w:val="348138AC"/>
    <w:rsid w:val="34936868"/>
    <w:rsid w:val="3751602D"/>
    <w:rsid w:val="4207133C"/>
    <w:rsid w:val="434F77FF"/>
    <w:rsid w:val="4AC57070"/>
    <w:rsid w:val="4CA37CC7"/>
    <w:rsid w:val="4E42694D"/>
    <w:rsid w:val="520C01FF"/>
    <w:rsid w:val="578B41AA"/>
    <w:rsid w:val="5A2D1A46"/>
    <w:rsid w:val="64087FAF"/>
    <w:rsid w:val="656A0512"/>
    <w:rsid w:val="6A704C32"/>
    <w:rsid w:val="6D787CC1"/>
    <w:rsid w:val="70FD4426"/>
    <w:rsid w:val="75DA47A6"/>
    <w:rsid w:val="78DF4BA6"/>
    <w:rsid w:val="7BD50BA4"/>
    <w:rsid w:val="7D1363DA"/>
    <w:rsid w:val="7D3733A3"/>
    <w:rsid w:val="7D5D078F"/>
    <w:rsid w:val="7DA0781F"/>
    <w:rsid w:val="7EF730D4"/>
    <w:rsid w:val="7FAD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2957</Words>
  <Characters>3067</Characters>
  <Lines>0</Lines>
  <Paragraphs>0</Paragraphs>
  <TotalTime>8</TotalTime>
  <ScaleCrop>false</ScaleCrop>
  <LinksUpToDate>false</LinksUpToDate>
  <CharactersWithSpaces>3103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2023-01-12T01:50:00Z</dcterms:created>
  <dc:creator>Administrator</dc:creator>
  <cp:lastModifiedBy>橙光海角</cp:lastModifiedBy>
  <dcterms:modified xsi:type="dcterms:W3CDTF">2023-02-08T03:25:30Z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8C6022E69D7448D9BEC3CE5614255AA3</vt:lpwstr>
  </property>
</Properties>
</file>