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嘉祥县发展和改革局2022年政府信息公开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本报告由嘉祥县发改局按照《中华人民共和国政府信息公开条例》（以下简称《条例》）和《中华人民共和国政府信息公开工作年度报告格式》（国办公开办函〔2021〕30号）要求编制。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本报告所列数据的统计期限自2022年1月1日起至2022年12月31日止。本报告电子版可在嘉祥县人民政府网站（</w:t>
      </w:r>
      <w:r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http://www.jiaxiang.gov.cn/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）政府信息公开专栏查阅或下载。如对本报告有疑问，请与嘉祥县发展和改革局联系（地址：嘉祥县呈祥街3号为民服务中心8楼8</w:t>
      </w:r>
      <w:r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室，联系电话：0537-</w:t>
      </w:r>
      <w:r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6987801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嘉祥县发展和改革局制定了信息公开指南，坚持“公开为常态，不公开为例外”的原则，明确公开范围，信息分类及编排体系，公开方式和公开时限，全年政府信息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公开共25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，其中通知公告类信息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9条、文件报告类信息3条、行政执法类信息6条、其他领域7条。</w:t>
      </w: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-3518535</wp:posOffset>
            </wp:positionV>
            <wp:extent cx="5080000" cy="3810000"/>
            <wp:effectExtent l="4445" t="4445" r="8255" b="8255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全年共收到政府信息公开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申请2件，办结2件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。县发展和改革局高度重视依申请信息公开工作，持续保持高度关注，积极回应群众关切，全面推动政府信息公开申请件办理质量提升。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在县委县政府的领导下，坚持政务公开标准化、规范化，持续加强政府信息资源使用管理及常态监测预警。按照政务公开工作标准，定期开展自查整改，确保政务公开工作阳光规范运行。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FF0000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县发展和改革局把政府网站作为政府信息公开的第一平台，在网站上设立政府信息公开栏目，层次明确，逻辑清晰地组织和发布，方便公众查询和使用。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发展和改革局将政务公开标准化规范化建设纳入局重点工作。高度重视信息公开工作，及时充实完善政务公开领导小组，组织工作人员开展政务公开培训，规范嘉祥政府网信息公开发布制度，严格信息发布审批制度。自觉主动接受县政府工作考核和社会评议，20</w:t>
      </w:r>
      <w:r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年度无发现违反有关法律法规规定，造成不良影响或者严重后果情况。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　　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 　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　　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 　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　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　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方正仿宋简体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</w:rPr>
              <w:t>0</w:t>
            </w:r>
          </w:p>
        </w:tc>
      </w:tr>
    </w:tbl>
    <w:p>
      <w:pPr>
        <w:spacing w:before="31" w:beforeLines="10" w:after="31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方正仿宋简体" w:hAnsi="Calibri" w:eastAsia="方正仿宋简体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Cs w:val="21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ascii="方正黑体简体" w:hAnsi="宋体" w:eastAsia="方正黑体简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Cs w:val="21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ascii="方正仿宋简体" w:hAnsi="Times New Roman" w:eastAsia="方正仿宋简体" w:cs="Times New Roman"/>
          <w:b/>
          <w:sz w:val="32"/>
          <w:szCs w:val="32"/>
        </w:rPr>
        <w:t>2022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年，县发展和改革局政府信息公开工作虽然取得了一定的成绩，但还存在一些问题有待改进：主要是信息发布和更新效率有待提高；主动公开政府信息的数量还需要增加，公开的内容还需要进一步细化；宣传和引导工作需要进一步加强，政府信息公开的形式还有待创新等。2</w:t>
      </w:r>
      <w:r>
        <w:rPr>
          <w:rFonts w:ascii="方正仿宋简体" w:hAnsi="Times New Roman" w:eastAsia="方正仿宋简体" w:cs="Times New Roman"/>
          <w:b/>
          <w:sz w:val="32"/>
          <w:szCs w:val="32"/>
        </w:rPr>
        <w:t>023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年，县发展和改革局将继续贯彻党的二十大精神，继续认真贯彻执行《政府信息公开条例》，不断加强政务信息管理，完善政府信息公开配套制度，充分利用政府门户网站公开各类信息的基础上，大力推行多媒体、网络等适应现代社会发展，便于公众知晓的便捷、快速、直接的政府信息公开形式，逐步实现信息公开形式多样化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（一）2022年，依据《政府信息公开信息处理费管理办法》，嘉祥县发展和改革局2022年没有收取信息处理费情况。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（二）落实上级年度政务公开工作要点情况。2022年，县发改局政务公开工作在县政府的业务指导下，按照省市县政务公开工作有关要求，不断拓展公开内容，完善公开制度，强化公开监督，取得一定成效。</w:t>
      </w:r>
    </w:p>
    <w:p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仿宋简体" w:cs="Times New Roman"/>
          <w:b/>
          <w:kern w:val="0"/>
          <w:sz w:val="32"/>
          <w:szCs w:val="32"/>
        </w:rPr>
        <w:t>（三）本行政机关人大代表建议和政协提案办理结果无公开情况。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 xml:space="preserve"> （四）年度政务公开工作创新情况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为进一步提升政务公开成效，健全政务公开机制，县发改局成立政务公开领导小组，办公室设在局办公室，安排专人负责政务公开日常工作，将政务公开拓展为公布国家、省、市政策、民生事项等内容，进一步增加了政务公开内容。</w:t>
      </w:r>
    </w:p>
    <w:p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hZDFkM2EzZWVjM2VhOGZkMGFiYWMwYjMyYjZjZGQifQ=="/>
  </w:docVars>
  <w:rsids>
    <w:rsidRoot w:val="000A359A"/>
    <w:rsid w:val="00051F7B"/>
    <w:rsid w:val="000A359A"/>
    <w:rsid w:val="000A6A2D"/>
    <w:rsid w:val="0012009C"/>
    <w:rsid w:val="002F21CD"/>
    <w:rsid w:val="005545C4"/>
    <w:rsid w:val="00654765"/>
    <w:rsid w:val="00673B7E"/>
    <w:rsid w:val="006D624F"/>
    <w:rsid w:val="0074440F"/>
    <w:rsid w:val="008A700B"/>
    <w:rsid w:val="009073F4"/>
    <w:rsid w:val="00945CB0"/>
    <w:rsid w:val="009F4C34"/>
    <w:rsid w:val="00B078A1"/>
    <w:rsid w:val="00B3362A"/>
    <w:rsid w:val="00B57465"/>
    <w:rsid w:val="00B97308"/>
    <w:rsid w:val="00C55F4C"/>
    <w:rsid w:val="00F26668"/>
    <w:rsid w:val="00F336A1"/>
    <w:rsid w:val="015A2C52"/>
    <w:rsid w:val="023D38CF"/>
    <w:rsid w:val="06FD7A87"/>
    <w:rsid w:val="09A73B6D"/>
    <w:rsid w:val="0F7677DD"/>
    <w:rsid w:val="125D0492"/>
    <w:rsid w:val="1F2F79EA"/>
    <w:rsid w:val="23AB78FA"/>
    <w:rsid w:val="29B02E51"/>
    <w:rsid w:val="2A8F08BA"/>
    <w:rsid w:val="33353039"/>
    <w:rsid w:val="351D6E62"/>
    <w:rsid w:val="38B65C88"/>
    <w:rsid w:val="3D4F6AA6"/>
    <w:rsid w:val="3E907376"/>
    <w:rsid w:val="419569CA"/>
    <w:rsid w:val="447C5582"/>
    <w:rsid w:val="45011636"/>
    <w:rsid w:val="45FC3543"/>
    <w:rsid w:val="4DEB6377"/>
    <w:rsid w:val="511C43E3"/>
    <w:rsid w:val="5186307D"/>
    <w:rsid w:val="5290793B"/>
    <w:rsid w:val="52D26860"/>
    <w:rsid w:val="548530BE"/>
    <w:rsid w:val="550B72FE"/>
    <w:rsid w:val="559E63C4"/>
    <w:rsid w:val="57346FE0"/>
    <w:rsid w:val="645054EE"/>
    <w:rsid w:val="64A11462"/>
    <w:rsid w:val="70952D0B"/>
    <w:rsid w:val="74EA3555"/>
    <w:rsid w:val="770C0F88"/>
    <w:rsid w:val="77E441F4"/>
    <w:rsid w:val="79442E8C"/>
    <w:rsid w:val="7A256345"/>
    <w:rsid w:val="7EC7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信息公开数量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通知公告</c:v>
                </c:pt>
                <c:pt idx="1">
                  <c:v>文件报告</c:v>
                </c:pt>
                <c:pt idx="2">
                  <c:v>行政执法</c:v>
                </c:pt>
                <c:pt idx="3">
                  <c:v>其他领域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2327</Words>
  <Characters>2419</Characters>
  <Lines>28</Lines>
  <Paragraphs>7</Paragraphs>
  <TotalTime>18</TotalTime>
  <ScaleCrop>false</ScaleCrop>
  <LinksUpToDate>false</LinksUpToDate>
  <CharactersWithSpaces>2600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2023-01-18T01:35:00Z</dcterms:created>
  <dc:creator>Administrator</dc:creator>
  <cp:lastModifiedBy>NTKO</cp:lastModifiedBy>
  <cp:lastPrinted>2023-01-18T01:38:00Z</cp:lastPrinted>
  <dcterms:modified xsi:type="dcterms:W3CDTF">2023-02-08T03:28:09Z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00637BB1FF624002814FB60DB04D6CC8</vt:lpwstr>
  </property>
</Properties>
</file>