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嘉祥县文化和旅游局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嘉祥县文化和旅游局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〕30号）要求编制。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”政府门户网站（www.jiaxiang.gov.cn）查阅或下载。如对本报告有疑问，请与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嘉祥县文化和旅游局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为民服务中心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0537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6987703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，嘉祥县文化和旅游局严格按照上级部门工作部署，认真贯彻落实政务公开工作的各项任务要求，紧紧围绕文旅领域的社会热点和人民群众的热切关切，扎实做好政务信息、公共文化服务、公益性活动等各项政务信息公开工作，为人民群众获取文化旅游领域政务信息，提升文旅领域的工作透明度，促进文旅事业和文旅产业的健康发展等方面发挥了积极作用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(一)主动公开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嘉祥县文化和旅游局高度重视政务信息公开工作，加强组织保障，强化工作措施，积极围绕我县文化和旅游领域的社会热点、群众关切，主动公开相关信息。2022年共主动公开各类信息533条，通过政府信息公开内容管理系统发布信息166条，通过政务新媒体账号公开信息367条，及时公开了其他应当及时公开的内容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(二)依申请公开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2022年，嘉祥县文化和旅游局未收到政府信息公开申请和因政府信息公开产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生的行政复议和行政诉讼。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(三)政府信息管理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一是加强组织管理，完善公开流程。成立了嘉祥县文化和旅游局政务公开领导小组，加强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了政府信息公开内容的征集、监管、审核。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二是加强信息管理，实现全面公开。2022年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通过政府信息公开目录管理系统和政务新媒体账号主动公开信息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条，通过政府信息公开目录管理系统发布信息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同比于2021年的106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条增长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56％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，通过政务新媒体账号公开信息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367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同比于2021年的282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条增长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30％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840480" cy="2720975"/>
            <wp:effectExtent l="4445" t="4445" r="10795" b="48260"/>
            <wp:docPr id="2" name="图表 2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228465" cy="2682875"/>
            <wp:effectExtent l="4445" t="4445" r="19050" b="1016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(四)政府信息公开平台建设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加强领导，规范管理。成立嘉祥县文化和旅游局政务公开领导小组，建立健全政务公开工作管理制度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实现专人专管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二是规范运营，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及时公开。积极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跟进社会热点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和群众关切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，及时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公开文旅领域相关政务信息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(五)监督保障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一是明确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组织保障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成立嘉祥县文化和旅游局政务公开领导小组，政务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信息公开工作由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嘉祥县文化和旅游局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领导班子监督，办公室指派专人负责具体工作。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二是加强监督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。局领导班子和政府信息公开分管领导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监督检查信息公开工作开展情况，查找存在问题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并由专职人员及时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160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040"/>
        <w:gridCol w:w="2040"/>
        <w:gridCol w:w="2040"/>
        <w:gridCol w:w="204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</w:tblPrEx>
        <w:trPr>
          <w:jc w:val="center"/>
        </w:trPr>
        <w:tc>
          <w:tcPr>
            <w:tcW w:w="81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第二十条第(一)项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第二十条第(五)项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第二十条第(六)项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第二十条第(八)项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本年收费金额(单位:万元)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885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40"/>
        <w:gridCol w:w="1022"/>
        <w:gridCol w:w="2526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4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(本列数据的勾稽关系为:第一项加第二项之和，等于第三项加第四项之和)</w:t>
            </w:r>
          </w:p>
        </w:tc>
        <w:tc>
          <w:tcPr>
            <w:tcW w:w="539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4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385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4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商业企业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科研机构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4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4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35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(一)予以公开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(二)部分公开(区分处理的，只计这一情形，不计其他情形)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(三)不予公开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1.属于国家秘密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2.其他法律行政法规禁止公开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3.危及“三安全一稳定”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4.保护第三方合法权益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5.属于三类内部事务信息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6.属于四类过程性信息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7.属于行政执法案卷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8.属于行政查询事项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(四)无法提供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1.本机关不掌握相关政府信息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2.没有现成信息需要另行制作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3.补正后申请内容仍不明确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(五)不予处理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1.信访举报投诉类申请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2.重复申请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3.要求提供公开出版物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4.无正当理由大量反复申请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(六)其他处理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3.其他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(七)总计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4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8550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</w:tblPrEx>
        <w:trPr>
          <w:jc w:val="center"/>
        </w:trPr>
        <w:tc>
          <w:tcPr>
            <w:tcW w:w="28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行政复议</w:t>
            </w:r>
          </w:p>
        </w:tc>
        <w:tc>
          <w:tcPr>
            <w:tcW w:w="5700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结果纠正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其他结果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尚未审结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结果纠正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其他结果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尚未审结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结果纠正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其他结果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尚未审结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1、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缺乏创新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。从目前情况看，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我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单位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在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2022年政府信息公开533条，公开的信息数量较多，但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公开信息的内容和形式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上缺少创新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2、公开内容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单一，信息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实用性有待提高。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2022年我单位公开内容主要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涉及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文化惠民活动、公益性事业等领域，文旅政策、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政策解读等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方面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信息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公开略显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不足。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年，我局将按照《中华人民共和国政府信息公开条例》和县委县政府对政府信息公开的相关要求，继续大力推进政府信息公开工作，主要是做好以下几方面工作: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一是加大公开力度。实现公开是常态，不公开是例外的工作局面。着重提升信息公开内容，深入挖掘业务类信息，按规定及时录入发布在网上，提高信息公开的更新频率。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二是加强政务公开业务培训。通过线上线下多种方式加强政务公开工作人员的业务培训，提升政务公开工作人员的业务技能。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（一）依据《政府信息公开信息处理费管理办法》，嘉祥县文化和旅游局202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年没有收取信息处理费情况。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（二）落实上级年度政务公开工作要点情况。嘉祥县文化和旅游局严格落实202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年度政务公开工作要点，结合我单位实际落实职责分工，规范公开行为，丰富公开内容，提升公开质量，政务公开的针对性、实效性进一步增强。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2022年，嘉祥县文化和旅游局承办并回复人大代表建议2件，政协委员提案20件。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）本行政机关年度政务公开工作创新情况。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一是围绕服务全县文化旅游工作，加强政府信息公开平台的开拓和政府信息的管理，充分利用县人民政府网站、微信公众号等平台，以群众喜闻乐见的方式，广泛深入宣传相关政策，提升信息覆盖率和知晓率。二是嘉祥县文化和旅游局政务新媒体微信公众号“文旅嘉祥”创新设立普法专栏，方便群众随时查阅多种法律知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E36A32D-72A6-4625-8369-6EE72B743E1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0CCE58E5-947A-4363-9495-F0884A1E622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D505461-2B33-4C8D-9613-772F637F07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8D24D1-13A2-490A-9CBB-46DAC4B028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zAwNjFiZjY4NTY1YWY3OWViMmQ4ZWU5YTJjYjAifQ=="/>
  </w:docVars>
  <w:rsids>
    <w:rsidRoot w:val="00000000"/>
    <w:rsid w:val="04846602"/>
    <w:rsid w:val="07783EDF"/>
    <w:rsid w:val="088A58C6"/>
    <w:rsid w:val="092364A0"/>
    <w:rsid w:val="0A613069"/>
    <w:rsid w:val="0F24110D"/>
    <w:rsid w:val="0F8D4276"/>
    <w:rsid w:val="135D1F76"/>
    <w:rsid w:val="171F2B9F"/>
    <w:rsid w:val="17AC63DB"/>
    <w:rsid w:val="19271A57"/>
    <w:rsid w:val="1B2A0340"/>
    <w:rsid w:val="1D730DF9"/>
    <w:rsid w:val="21AB2B40"/>
    <w:rsid w:val="24751CFA"/>
    <w:rsid w:val="2536529E"/>
    <w:rsid w:val="27604F74"/>
    <w:rsid w:val="2766554E"/>
    <w:rsid w:val="2BE12B95"/>
    <w:rsid w:val="2D9139BA"/>
    <w:rsid w:val="332950C1"/>
    <w:rsid w:val="341E3E0F"/>
    <w:rsid w:val="36AD4501"/>
    <w:rsid w:val="37984B2B"/>
    <w:rsid w:val="3A2A51D2"/>
    <w:rsid w:val="3D130C32"/>
    <w:rsid w:val="3D9E6CF4"/>
    <w:rsid w:val="45E16C49"/>
    <w:rsid w:val="498145CB"/>
    <w:rsid w:val="4BE206D2"/>
    <w:rsid w:val="4C1D1104"/>
    <w:rsid w:val="64837498"/>
    <w:rsid w:val="654C480E"/>
    <w:rsid w:val="69470D3F"/>
    <w:rsid w:val="695B18EF"/>
    <w:rsid w:val="6DED5F24"/>
    <w:rsid w:val="6E8977BA"/>
    <w:rsid w:val="71C179B3"/>
    <w:rsid w:val="738513AB"/>
    <w:rsid w:val="7CD60B3F"/>
    <w:rsid w:val="7F80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en-US"/>
              <a:t>嘉祥县文化和旅游局</a:t>
            </a:r>
            <a:endParaRPr altLang="en-US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2022</a:t>
            </a:r>
            <a:r>
              <a:rPr altLang="en-US"/>
              <a:t>年主动公开信息情况</a:t>
            </a:r>
            <a:endParaRPr altLang="en-US"/>
          </a:p>
        </c:rich>
      </c:tx>
      <c:layout>
        <c:manualLayout>
          <c:xMode val="edge"/>
          <c:yMode val="edge"/>
          <c:x val="0.245831455610635"/>
          <c:y val="0.0073529411764705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367</a:t>
                    </a:r>
                    <a:r>
                      <a:rPr altLang="en-US"/>
                      <a:t>条</a:t>
                    </a:r>
                    <a:endParaRPr alt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8915623683277"/>
                  <c:y val="0.051202641514981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166</a:t>
                    </a:r>
                    <a:r>
                      <a:rPr altLang="en-US"/>
                      <a:t>条</a:t>
                    </a:r>
                    <a:endParaRPr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政务新媒体账号公开信息</c:v>
                </c:pt>
                <c:pt idx="1">
                  <c:v>政府信息公开内容管理系统发布信息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6.8</c:v>
                </c:pt>
                <c:pt idx="1">
                  <c:v>3.2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政务新媒体账号公开信息</c:v>
                </c:pt>
                <c:pt idx="1">
                  <c:v>政府信息公开内容管理系统发布信息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政务新媒体账号公开信息</c:v>
                </c:pt>
                <c:pt idx="1">
                  <c:v>政府信息公开内容管理系统发布信息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858795253117"/>
          <c:y val="0.175449346405229"/>
          <c:w val="0.623704371338441"/>
          <c:h val="0.13480392156862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altLang="en-US"/>
              <a:t>年与</a:t>
            </a:r>
            <a:r>
              <a:rPr lang="en-US" altLang="zh-CN"/>
              <a:t>2021</a:t>
            </a:r>
            <a:r>
              <a:rPr altLang="en-US"/>
              <a:t>年信息公开情况对比</a:t>
            </a:r>
            <a:endParaRPr altLang="en-US"/>
          </a:p>
        </c:rich>
      </c:tx>
      <c:layout>
        <c:manualLayout>
          <c:xMode val="edge"/>
          <c:yMode val="edge"/>
          <c:x val="0.177278870701306"/>
          <c:y val="0.02485207100591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2021年条数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政府信息公开内容管理系统发布信息</c:v>
                </c:pt>
                <c:pt idx="1">
                  <c:v>政务新媒体账号公开信息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106</c:v>
                </c:pt>
                <c:pt idx="1">
                  <c:v>282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2022年条数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政府信息公开内容管理系统发布信息</c:v>
                </c:pt>
                <c:pt idx="1">
                  <c:v>政务新媒体账号公开信息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166</c:v>
                </c:pt>
                <c:pt idx="1">
                  <c:v>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90290"/>
        <c:axId val="47228597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同比增长（％）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Sheet1!$A$2:$A$3</c:f>
              <c:strCache>
                <c:ptCount val="2"/>
                <c:pt idx="0">
                  <c:v>政府信息公开内容管理系统发布信息</c:v>
                </c:pt>
                <c:pt idx="1">
                  <c:v>政务新媒体账号公开信息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56</c:v>
                </c:pt>
                <c:pt idx="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20490290"/>
        <c:axId val="472285978"/>
      </c:lineChart>
      <c:catAx>
        <c:axId val="52049029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2285978"/>
        <c:crosses val="autoZero"/>
        <c:auto val="1"/>
        <c:lblAlgn val="ctr"/>
        <c:lblOffset val="100"/>
        <c:noMultiLvlLbl val="0"/>
      </c:catAx>
      <c:valAx>
        <c:axId val="47228597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049029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2712</Words>
  <Characters>2838</Characters>
  <Lines>0</Lines>
  <Paragraphs>0</Paragraphs>
  <TotalTime>12</TotalTime>
  <ScaleCrop>false</ScaleCrop>
  <LinksUpToDate>false</LinksUpToDate>
  <CharactersWithSpaces>2838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孟雨</cp:lastModifiedBy>
  <cp:lastPrinted>2023-02-08T07:48:43Z</cp:lastPrinted>
  <dcterms:modified xsi:type="dcterms:W3CDTF">2023-02-08T07:54:17Z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01A591470CF648108E8F2D4565CBDC79</vt:lpwstr>
  </property>
</Properties>
</file>