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72071">
      <w:pPr>
        <w:spacing w:line="590" w:lineRule="exact"/>
        <w:ind w:right="-105" w:rightChars="-50"/>
        <w:jc w:val="center"/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嘉祥县工业和信息化局</w:t>
      </w:r>
    </w:p>
    <w:p w14:paraId="7DDDD1F6">
      <w:pPr>
        <w:spacing w:line="590" w:lineRule="exact"/>
        <w:ind w:right="-105" w:rightChars="-50"/>
        <w:jc w:val="center"/>
        <w:rPr>
          <w:rFonts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简体" w:hAnsi="Times New Roman" w:eastAsia="方正小标宋简体" w:cs="Times New Roman"/>
          <w:b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 w14:paraId="7B9BE733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9C9F39B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嘉祥县工业和信息化局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号）要求编制。</w:t>
      </w:r>
    </w:p>
    <w:p w14:paraId="48345434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B935080">
      <w:pPr>
        <w:spacing w:line="590" w:lineRule="exact"/>
        <w:ind w:right="-105" w:rightChars="-50" w:firstLine="643" w:firstLineChars="200"/>
        <w:rPr>
          <w:rFonts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日起至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日止。本报告电子版可在“嘉祥县人民政府”网站（http://www.jiaxiang.gov.cn/）政府信息公开专栏查阅或下载。如对本报告有疑问，请与嘉祥县工业和信息化局联系（地址：嘉祥县为民服务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中心11楼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，联系电话：</w:t>
      </w:r>
      <w:r>
        <w:rPr>
          <w:rFonts w:hint="eastAsia" w:ascii="Times New Roman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0537-6987101</w:t>
      </w:r>
      <w:r>
        <w:rPr>
          <w:rFonts w:hint="eastAsia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4063DD33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 w14:paraId="505A4CFA">
      <w:pPr>
        <w:spacing w:line="590" w:lineRule="exact"/>
        <w:ind w:right="-105" w:rightChars="-50" w:firstLine="643" w:firstLineChars="200"/>
        <w:rPr>
          <w:rFonts w:hint="default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嘉祥县工业和信息化局围绕全县政务公开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总体要求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紧扣重点领域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，结合工作实际，深入推进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政务公开工作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现将有关情况总结如下：</w:t>
      </w:r>
    </w:p>
    <w:p w14:paraId="3323C83C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文星仿宋" w:eastAsia="方正楷体简体" w:cs="方正仿宋简体"/>
          <w:b/>
          <w:color w:val="000000"/>
          <w:kern w:val="0"/>
          <w:sz w:val="32"/>
          <w:szCs w:val="32"/>
        </w:rPr>
        <w:t>（一）主动公开情况</w:t>
      </w:r>
    </w:p>
    <w:p w14:paraId="0B28206A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今年以来，县工业和信息化局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“嘉祥县人民政府”网站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作为政府信息公开的主渠道，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主动公开各类信息共计50条。其中，部门动态类信息3条，政策文件类信息3条，通知公告类信息6条，行政执法类信息8条，部门预决算公开信息2条，重点领域类信息4条，建议提案类信息13条，政府信息公开指南、政府信息公开年报各1条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其他法定信息4条，其他信息5条。</w:t>
      </w:r>
    </w:p>
    <w:p w14:paraId="62E4D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210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150495</wp:posOffset>
            </wp:positionV>
            <wp:extent cx="5622925" cy="3175000"/>
            <wp:effectExtent l="4445" t="5080" r="11430" b="58420"/>
            <wp:wrapNone/>
            <wp:docPr id="1030" name="图表 2" descr="7b0a202020202263686172745265734964223a20223230343638383936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00ECD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</w:p>
    <w:p w14:paraId="2100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    </w:t>
      </w:r>
    </w:p>
    <w:p w14:paraId="0409D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</w:p>
    <w:p w14:paraId="5959E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</w:p>
    <w:p w14:paraId="6BB6A9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</w:p>
    <w:p w14:paraId="2A5E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</w:p>
    <w:p w14:paraId="2D49C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         </w:t>
      </w:r>
    </w:p>
    <w:p w14:paraId="1F632E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30" w:leftChars="300" w:right="-105" w:rightChars="-50" w:firstLine="321" w:firstLineChars="100"/>
        <w:jc w:val="left"/>
        <w:textAlignment w:val="auto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 xml:space="preserve">                                                 </w:t>
      </w: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 w14:paraId="298D3B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jc w:val="left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2024年，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</w:rPr>
        <w:t>县工业和信息化局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未收到政府信息公开申请。</w:t>
      </w:r>
    </w:p>
    <w:p w14:paraId="43E6F4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jc w:val="left"/>
        <w:textAlignment w:val="auto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 w14:paraId="12287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县工业和信息化局认真贯彻落实《中华人民共和国政府信息公开条例》有关要求，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进一步规范政府信息管理流程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各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业务科室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按职责分工提供公开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信息，明确专人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负责信息的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收集、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编辑、发布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按规定程序严格审查拟公开信息，确保公开内容真实准确。</w:t>
      </w:r>
    </w:p>
    <w:p w14:paraId="59DE76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-105" w:rightChars="-50" w:firstLine="643" w:firstLineChars="200"/>
        <w:textAlignment w:val="auto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 w14:paraId="3185FF16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依托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“嘉祥县人民政府”网站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政务公开专栏，并按照信息类别，将有关内容在各类子栏目及时对外公开。今年以来，县工业和信息化局梳理汇总一系列助企、惠企政策，编写制定《2024年工业行业惠企政策汇编》并配上政策解读，在“通知公告”专栏及时公开，全力以赴为企业提供精准高效的政策服务。</w:t>
      </w:r>
    </w:p>
    <w:p w14:paraId="308E4221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hAnsi="Times New Roman" w:eastAsia="方正楷体简体" w:cs="Times New Roman"/>
          <w:b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 w14:paraId="653A2EC4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加强人员配备，通过政务公开工作领导小组，加强组织领导和科室之间的协调配合，形成工作合力；明确专人负责，定期检查更新有关栏目信息，确保工作顺利推进；及时在“</w:t>
      </w:r>
      <w:r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嘉祥县人民政府”网站</w:t>
      </w: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更新我局工作职责、办公地址、联系方式等信息，主动接受公众监督。</w:t>
      </w:r>
    </w:p>
    <w:p w14:paraId="23B7045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4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4E019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AE9D1B0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38C1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90B112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EBD1E7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A4AD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D67F21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65BE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7967A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37C00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3901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E5BA96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55D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AF034D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0F3A5B0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CEFCD93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5DE44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091EC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235C9A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6BA1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E08D3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556DC0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8B32F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AB5820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50140DE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74D0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4C1BD07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26D6E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092ABBE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DC8450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6CD19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B7C6FBC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D7D4CF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33C1B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8F1931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EBA32A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27768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F8A5BF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48D9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4C80F1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D71EC8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17779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343D9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B6D9BB">
            <w:pPr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D967F4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7ACBD6B0">
      <w:pPr>
        <w:spacing w:before="62" w:beforeLines="10" w:after="62" w:afterLines="10" w:line="600" w:lineRule="exact"/>
        <w:ind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12F1257A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4BA4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45F2DE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68F4537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2661E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6E32A752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4B5641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2BB949F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B5BEED3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6E75C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9C472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D8D4C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E2A2CC0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3351286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4752C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16E4BEB2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95BD7B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C1AAA8F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FD903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F35345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4DD81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75C8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8D6D3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D6BAFD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F40479A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3782DA3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B39ABD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57980FF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D49556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C1B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343C41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5C3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01CD25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187EA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36B30D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65C331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D75A492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BB8F7E7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C561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98F282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8AF2E5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B3F417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33500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DC242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28056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F1A51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C35C0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2D612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4D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0C15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2B28D09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57428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9C481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46FE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8F2961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64EBA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272EE9E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698964E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6779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31A3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042E58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8084C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6C211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F771A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76707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0039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F8A2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1C5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CB336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37CE0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F95BD3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B2014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6DE0FC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D61DE2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44F87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E7811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8C3D7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BC87B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F7C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168F4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5130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8500D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02170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BFF3C7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96252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595E4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ED34B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13E1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12E63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0974C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F5577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A7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97F9DB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AB0508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43EA5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CAFC9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BA712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FFA6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F52D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A4535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2B4231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74307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1EB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6E52E3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6268C6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98E93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2DA60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5DFA30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3905D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B6017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FC0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B1824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17D1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161D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A7D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829B0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A6C571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849115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F6A89F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9B1B3E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F5261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CB3B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2DF26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BF73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7EF7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7A328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95BD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D1BA86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52DDF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32DFA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262C7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8E9C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7E14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16F5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0A47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91E2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C193D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BCD26C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CE81DD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419DC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FBC9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9528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080DF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ACEB8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B36BDF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AE998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FBDC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9182C0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0E2F86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4D5BD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A543D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4EA32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BDCBAD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20E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ED7B4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5CA0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2CCB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BAFF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BBCD3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FA0B9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C67004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5A74D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B0DF4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AF664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716067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24847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A216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3D9AC2B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52A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D042B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C556C8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750427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7105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117D26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A37086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6B43D4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CECF9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4C70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5C51DE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16A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086DF4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B7D773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4B09B4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BB05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E59086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6D519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BC6B4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EAFBA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F03F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0C9BD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3259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683B2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FE47E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0B52A9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85D7D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063C9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5965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91B9FB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AD955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7D5903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4EA26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CB82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9E0E06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50B74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E72832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E1804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627B5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44ABD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45301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B3403B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A9B8CC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05D867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5F4A9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1ADF17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A95066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60E3ABC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C18F5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BA9B44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7F773F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DC3C54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0966D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18FA1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B38FA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B31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232D25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CDD0AE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70C7BDA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59F64FF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2A479B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B93682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61CB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C3AC3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38DCCB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214EDB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4D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CD5CA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48169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AECF52E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E6992E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035859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22874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9F489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E640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4EDF5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FFFEA0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1FCD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90607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8AB79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56475066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9C4E3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E029D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8C5620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E6730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028EC4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526E60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D6456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1F73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0C15F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7DF850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25D1A51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2A37F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7A9658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1B064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5DC1A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8C4671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098E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7BEA2AE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6A09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35422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744F9BF9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72C8B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9CB1B3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A2CC57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303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1CF39A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FEDDC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33483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580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ED46C3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028EC3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0C694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3B948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260B5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ECFAFC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28AFA1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4243FD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4F66E489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2CC1960C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</w:pPr>
    </w:p>
    <w:p w14:paraId="34139E82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12F06DA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D5CBD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E9A1F1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A3FDD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38B3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5A21E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40024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AA76DC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CD3B3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9FBD5C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6E20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62E4E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7255C1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ED3E3D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02C9D02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E96C9C1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6B7E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24F5F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B784C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62440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5033FB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5B939B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79FD5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F4719D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8F49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ABCCDA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C4F2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80BBC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25562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45F7F2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5758A7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373DA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48819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8BF4F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59BE7D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BA244B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318980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32BD37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FA408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08BDE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42F38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74D8F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A17CA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0F512E3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D0EB13B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120209F3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2024年以来，嘉祥县工业和信息化局政府信息公开工作虽然取得一定成效，但仍存在一些不足。</w:t>
      </w:r>
    </w:p>
    <w:p w14:paraId="3AF94871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存在的主要问题：一是信息公开稿件数量还有待提升；二是部分业务部门主动公开意识还略有不足。</w:t>
      </w:r>
    </w:p>
    <w:p w14:paraId="2A761D0D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采取的改进措施：一是进一步完善信息发布机制，对各类信息定期提醒相关科室，确保应更新尽更新，进一步提升信息公开稿件数量；二是不断加强宣传引导，组织专题培训，引导全局上下充分认识到主动公开的重要性，坚持以“公开为常态，不公开为例外”的原则，推动政务公开工作走深走实。</w:t>
      </w:r>
      <w:bookmarkStart w:id="0" w:name="_GoBack"/>
      <w:bookmarkEnd w:id="0"/>
    </w:p>
    <w:p w14:paraId="616398B6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508A58A7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（一）依据《政府信息公开信息处理费管理办法》，嘉祥县工业和信息化局2024年没有收取信息处理费的情况。</w:t>
      </w:r>
    </w:p>
    <w:p w14:paraId="4758DF85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（二）本行政机关落实上级年度政务公开工作要点情况：</w:t>
      </w:r>
    </w:p>
    <w:p w14:paraId="67E78378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2024年，县工业和信息化局紧紧围绕县政务公开重点工作任务，扎实推进政务公开工作提质增效。充分发挥政务公开领导小组的统筹协调作用，召开专题会议研究解决政务公开工作中的重点难点问题，召开培训会议，不断强化理论学习，提升业务素养。</w:t>
      </w:r>
    </w:p>
    <w:p w14:paraId="3CF77BB6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（三）本行政机关人大代表建议和政协提案办理结果公开情况：</w:t>
      </w:r>
    </w:p>
    <w:p w14:paraId="58C85FC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2024年，县工业和信息化局共收到人大代表建议3件，政协提案9件。围绕代表、委员提出的问题和建议，特别是一些难点热点问题，认真研究工作方案，制定工作计划，确定工作目标。今年建议、提案办结率、满意率均为100%，办理结果和办理总体情况已在“嘉祥县人民政府”网站进行公示。</w:t>
      </w:r>
    </w:p>
    <w:p w14:paraId="64F0007D">
      <w:pPr>
        <w:spacing w:line="590" w:lineRule="exact"/>
        <w:ind w:right="-105" w:rightChars="-50" w:firstLine="643" w:firstLineChars="200"/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（四）本行政机关年度政务公开工作创新情况：</w:t>
      </w:r>
    </w:p>
    <w:p w14:paraId="0CFC9D8B">
      <w:pPr>
        <w:spacing w:line="590" w:lineRule="exact"/>
        <w:ind w:right="-105" w:rightChars="-50" w:firstLine="643" w:firstLineChars="200"/>
        <w:rPr>
          <w:rFonts w:hint="default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/>
          <w:color w:val="000000"/>
          <w:kern w:val="0"/>
          <w:sz w:val="32"/>
          <w:szCs w:val="32"/>
          <w:lang w:val="en-US" w:eastAsia="zh-CN"/>
        </w:rPr>
        <w:t>今年，县工业和信息化局组织开展了以“走进工信，共谋发展”为主题的政府公开日活动，通过邀请我县部分企业代表以座谈交流，惠企政策解读等方式，让企业全方位了解工信工作，助力我县工业经济高质量发展。</w:t>
      </w:r>
    </w:p>
    <w:p w14:paraId="56EE1708">
      <w:pPr>
        <w:spacing w:line="590" w:lineRule="exact"/>
        <w:ind w:right="-105" w:rightChars="-50" w:firstLine="643" w:firstLineChars="200"/>
        <w:rPr>
          <w:rFonts w:hint="eastAsia" w:ascii="方正仿宋简体" w:hAnsi="Times New Roman" w:eastAsia="方正仿宋简体" w:cs="Times New Roman"/>
          <w:b/>
          <w:kern w:val="0"/>
          <w:sz w:val="32"/>
          <w:szCs w:val="32"/>
          <w:lang w:eastAsia="zh-CN"/>
        </w:rPr>
      </w:pPr>
    </w:p>
    <w:p w14:paraId="304265FB">
      <w:pPr>
        <w:spacing w:line="590" w:lineRule="exact"/>
        <w:ind w:right="-105" w:rightChars="-50" w:firstLine="643" w:firstLineChars="200"/>
        <w:rPr>
          <w:rFonts w:hint="default" w:ascii="方正仿宋简体" w:hAnsi="Times New Roman" w:eastAsia="方正仿宋简体" w:cs="Times New Roman"/>
          <w:b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hOTdiNzczNWNiMWFhNmNjOWZlNGNkMjgzODViMGEifQ=="/>
  </w:docVars>
  <w:rsids>
    <w:rsidRoot w:val="58E579F9"/>
    <w:rsid w:val="003C2F77"/>
    <w:rsid w:val="011819A4"/>
    <w:rsid w:val="020B260F"/>
    <w:rsid w:val="03D40BC5"/>
    <w:rsid w:val="04032DEF"/>
    <w:rsid w:val="04A95048"/>
    <w:rsid w:val="093356E0"/>
    <w:rsid w:val="0A8E39C0"/>
    <w:rsid w:val="0C377EFF"/>
    <w:rsid w:val="10C7074F"/>
    <w:rsid w:val="11660332"/>
    <w:rsid w:val="14336A60"/>
    <w:rsid w:val="15D653D0"/>
    <w:rsid w:val="16345A4B"/>
    <w:rsid w:val="19292031"/>
    <w:rsid w:val="19E04BD1"/>
    <w:rsid w:val="1A081A37"/>
    <w:rsid w:val="1B155FFD"/>
    <w:rsid w:val="1E2F253D"/>
    <w:rsid w:val="1F163385"/>
    <w:rsid w:val="200331F9"/>
    <w:rsid w:val="21010AC3"/>
    <w:rsid w:val="23034420"/>
    <w:rsid w:val="23E27806"/>
    <w:rsid w:val="23F764D8"/>
    <w:rsid w:val="24014FBB"/>
    <w:rsid w:val="25D074A1"/>
    <w:rsid w:val="2619262F"/>
    <w:rsid w:val="278C0542"/>
    <w:rsid w:val="286D5223"/>
    <w:rsid w:val="29B541CC"/>
    <w:rsid w:val="2A9B2295"/>
    <w:rsid w:val="2BF041E8"/>
    <w:rsid w:val="2DDE1D73"/>
    <w:rsid w:val="2EB16469"/>
    <w:rsid w:val="2F68177C"/>
    <w:rsid w:val="2F8057F2"/>
    <w:rsid w:val="30055568"/>
    <w:rsid w:val="33671E1D"/>
    <w:rsid w:val="35193EDB"/>
    <w:rsid w:val="37753DFB"/>
    <w:rsid w:val="37FD3F1B"/>
    <w:rsid w:val="38493327"/>
    <w:rsid w:val="3B9A439D"/>
    <w:rsid w:val="3CCE1727"/>
    <w:rsid w:val="3D8845A4"/>
    <w:rsid w:val="3D903453"/>
    <w:rsid w:val="3E441209"/>
    <w:rsid w:val="402A6518"/>
    <w:rsid w:val="41091364"/>
    <w:rsid w:val="41482F43"/>
    <w:rsid w:val="419D3F2B"/>
    <w:rsid w:val="41E45005"/>
    <w:rsid w:val="42B105EC"/>
    <w:rsid w:val="43001CF5"/>
    <w:rsid w:val="43735143"/>
    <w:rsid w:val="44652869"/>
    <w:rsid w:val="45136BF2"/>
    <w:rsid w:val="45A44559"/>
    <w:rsid w:val="499379D5"/>
    <w:rsid w:val="4AF56EDE"/>
    <w:rsid w:val="4B2C2263"/>
    <w:rsid w:val="4B5F2458"/>
    <w:rsid w:val="501C215D"/>
    <w:rsid w:val="5380045D"/>
    <w:rsid w:val="55734204"/>
    <w:rsid w:val="55EC20D4"/>
    <w:rsid w:val="5675509B"/>
    <w:rsid w:val="5741752E"/>
    <w:rsid w:val="58072B11"/>
    <w:rsid w:val="58E579F9"/>
    <w:rsid w:val="5A0C6C7A"/>
    <w:rsid w:val="5D5658EC"/>
    <w:rsid w:val="616F463E"/>
    <w:rsid w:val="64751A38"/>
    <w:rsid w:val="64EC7B0A"/>
    <w:rsid w:val="660D5409"/>
    <w:rsid w:val="666B493E"/>
    <w:rsid w:val="69A215BF"/>
    <w:rsid w:val="6D565B5B"/>
    <w:rsid w:val="6EF67F40"/>
    <w:rsid w:val="72800715"/>
    <w:rsid w:val="72C26A80"/>
    <w:rsid w:val="742B7186"/>
    <w:rsid w:val="769C413C"/>
    <w:rsid w:val="796949FA"/>
    <w:rsid w:val="797E46CB"/>
    <w:rsid w:val="7BC16FAA"/>
    <w:rsid w:val="7BEC5DDB"/>
    <w:rsid w:val="7C6A188E"/>
    <w:rsid w:val="7CD67053"/>
    <w:rsid w:val="7CDB3901"/>
    <w:rsid w:val="7CE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lang w:val="en-US" w:eastAsia="zh-CN" w:bidi="ar-SA"/>
    </w:rPr>
  </w:style>
  <w:style w:type="paragraph" w:styleId="3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&#26032;&#24314;%20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lang="en-US" altLang="zh-CN" sz="1400" b="0" i="0" u="none" strike="noStrike" baseline="0">
                <a:solidFill>
                  <a:srgbClr val="333333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2024</a:t>
            </a:r>
            <a:r>
              <a:rPr altLang="en-US" sz="1400" b="0" i="0" u="none" strike="noStrike" baseline="0">
                <a:solidFill>
                  <a:srgbClr val="333333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年嘉祥县工业和信息化局政府信息主动公开情况</a:t>
            </a:r>
            <a:endParaRPr altLang="en-US" sz="1400" b="0" i="0" u="none" strike="noStrike" baseline="0">
              <a:solidFill>
                <a:srgbClr val="000000"/>
              </a:solidFill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300395256917"/>
          <c:y val="0.03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69339356295878"/>
          <c:y val="0.1578"/>
          <c:w val="0.453754940711462"/>
          <c:h val="0.8036"/>
        </c:manualLayout>
      </c:layout>
      <c:pieChart>
        <c:varyColors val="1"/>
        <c:ser>
          <c:idx val="0"/>
          <c:order val="0"/>
          <c:spPr>
            <a:ln w="76200" cmpd="thickThin">
              <a:solidFill>
                <a:schemeClr val="bg1"/>
              </a:solidFill>
            </a:ln>
            <a:sp3d contourW="76200"/>
          </c:spPr>
          <c:explosion val="0"/>
          <c:dPt>
            <c:idx val="0"/>
            <c:bubble3D val="0"/>
            <c:explosion val="0"/>
            <c:spPr>
              <a:solidFill>
                <a:schemeClr val="accent1"/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1"/>
            <c:bubble3D val="0"/>
            <c:explosion val="0"/>
            <c:spPr>
              <a:solidFill>
                <a:schemeClr val="accent2"/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2"/>
            <c:bubble3D val="0"/>
            <c:explosion val="0"/>
            <c:spPr>
              <a:solidFill>
                <a:schemeClr val="accent3"/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3"/>
            <c:bubble3D val="0"/>
            <c:explosion val="0"/>
            <c:spPr>
              <a:solidFill>
                <a:schemeClr val="accent4"/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4"/>
            <c:bubble3D val="0"/>
            <c:explosion val="0"/>
            <c:spPr>
              <a:solidFill>
                <a:schemeClr val="accent5"/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5"/>
            <c:bubble3D val="0"/>
            <c:explosion val="0"/>
            <c:spPr>
              <a:solidFill>
                <a:schemeClr val="accent6"/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6"/>
            <c:bubble3D val="0"/>
            <c:explosion val="0"/>
            <c:spPr>
              <a:solidFill>
                <a:schemeClr val="accent1">
                  <a:lumMod val="60000"/>
                </a:schemeClr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7"/>
            <c:bubble3D val="0"/>
            <c:explosion val="0"/>
            <c:spPr>
              <a:solidFill>
                <a:schemeClr val="accent2">
                  <a:lumMod val="60000"/>
                </a:schemeClr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8"/>
            <c:bubble3D val="0"/>
            <c:explosion val="0"/>
            <c:spPr>
              <a:solidFill>
                <a:schemeClr val="accent3">
                  <a:lumMod val="60000"/>
                </a:schemeClr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9"/>
            <c:bubble3D val="0"/>
            <c:explosion val="0"/>
            <c:spPr>
              <a:solidFill>
                <a:schemeClr val="accent4">
                  <a:lumMod val="60000"/>
                </a:schemeClr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Pt>
            <c:idx val="10"/>
            <c:bubble3D val="0"/>
            <c:explosion val="0"/>
            <c:spPr>
              <a:solidFill>
                <a:schemeClr val="accent5">
                  <a:lumMod val="60000"/>
                </a:schemeClr>
              </a:solidFill>
              <a:ln w="76200" cmpd="thickThin">
                <a:solidFill>
                  <a:schemeClr val="bg1"/>
                </a:solidFill>
              </a:ln>
              <a:effectLst/>
              <a:sp3d contourW="76200"/>
            </c:spPr>
          </c:dPt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bg1"/>
                    </a:solidFill>
                    <a:latin typeface="Times New Roman" panose="02020603050405020304" charset="0"/>
                    <a:ea typeface="Times New Roman" panose="02020603050405020304" charset="0"/>
                    <a:cs typeface="Times New Roman" panose="02020603050405020304" charset="0"/>
                    <a:sym typeface="Times New Roman" panose="02020603050405020304" charset="0"/>
                  </a:defRPr>
                </a:pPr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rgbClr val="969696">
                          <a:alpha val="100000"/>
                        </a:srgbClr>
                      </a:solidFill>
                      <a:prstDash val="solid"/>
                      <a:round/>
                    </a:ln>
                  </c:spPr>
                </c15:leaderLines>
              </c:ext>
            </c:extLst>
          </c:dLbls>
          <c:cat>
            <c:strRef>
              <c:f>'[新建 XLS 工作表.xls]Sheet1'!$J$8:$J$18</c:f>
              <c:strCache>
                <c:ptCount val="11"/>
                <c:pt idx="0">
                  <c:v>建议提案类</c:v>
                </c:pt>
                <c:pt idx="1">
                  <c:v>行政执法类</c:v>
                </c:pt>
                <c:pt idx="2">
                  <c:v>通知公告类</c:v>
                </c:pt>
                <c:pt idx="3">
                  <c:v>其他信息</c:v>
                </c:pt>
                <c:pt idx="4">
                  <c:v>重点领域类</c:v>
                </c:pt>
                <c:pt idx="5">
                  <c:v>其他法定信息</c:v>
                </c:pt>
                <c:pt idx="6">
                  <c:v>部门动态类</c:v>
                </c:pt>
                <c:pt idx="7">
                  <c:v>政策文件类</c:v>
                </c:pt>
                <c:pt idx="8">
                  <c:v>部门预决算公开</c:v>
                </c:pt>
                <c:pt idx="9">
                  <c:v>政府信息公开指南</c:v>
                </c:pt>
                <c:pt idx="10">
                  <c:v>政府信息公开年报</c:v>
                </c:pt>
              </c:strCache>
            </c:strRef>
          </c:cat>
          <c:val>
            <c:numRef>
              <c:f>'[新建 XLS 工作表.xls]Sheet1'!$K$8:$K$18</c:f>
              <c:numCache>
                <c:formatCode>General</c:formatCode>
                <c:ptCount val="11"/>
                <c:pt idx="0">
                  <c:v>13</c:v>
                </c:pt>
                <c:pt idx="1">
                  <c:v>8</c:v>
                </c:pt>
                <c:pt idx="2">
                  <c:v>6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2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3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4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5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6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7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8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9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egendEntry>
        <c:idx val="1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微软雅黑" panose="020B0503020204020204" charset="-122"/>
                <a:ea typeface="微软雅黑" panose="020B0503020204020204" charset="-122"/>
                <a:cs typeface="微软雅黑" panose="020B0503020204020204" charset="-122"/>
                <a:sym typeface="微软雅黑" panose="020B0503020204020204" charset="-122"/>
              </a:defRPr>
            </a:pPr>
          </a:p>
        </c:txPr>
      </c:legendEntry>
      <c:layout>
        <c:manualLayout>
          <c:xMode val="edge"/>
          <c:yMode val="edge"/>
          <c:x val="0.70354087464215"/>
          <c:y val="0.211791518235793"/>
          <c:w val="0.18625"/>
          <c:h val="0.7097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微软雅黑" panose="020B0503020204020204" charset="-122"/>
              <a:ea typeface="微软雅黑" panose="020B0503020204020204" charset="-122"/>
              <a:cs typeface="微软雅黑" panose="020B0503020204020204" charset="-122"/>
              <a:sym typeface="微软雅黑" panose="020B0503020204020204" charset="-122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ba8f2058-3360-488e-85a0-923f17f5a571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prstDash val="solid"/>
      <a:round/>
    </a:ln>
    <a:effectLst>
      <a:outerShdw blurRad="63500" dist="37357" dir="2700000" sx="0" sy="0" rotWithShape="0">
        <a:scrgbClr r="0" g="0" b="0"/>
      </a:outerShdw>
    </a:effectLst>
  </c:spPr>
  <c:txPr>
    <a:bodyPr wrap="square"/>
    <a:lstStyle/>
    <a:p>
      <a:pPr>
        <a:defRPr lang="zh-CN" b="0">
          <a:latin typeface="微软雅黑" panose="020B0503020204020204" charset="-122"/>
          <a:ea typeface="微软雅黑" panose="020B0503020204020204" charset="-122"/>
          <a:cs typeface="微软雅黑" panose="020B0503020204020204" charset="-122"/>
          <a:sym typeface="微软雅黑" panose="020B0503020204020204" charset="-122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51">
    <a:dk1>
      <a:srgbClr val="000000"/>
    </a:dk1>
    <a:lt1>
      <a:srgbClr val="FFFFFF"/>
    </a:lt1>
    <a:dk2>
      <a:srgbClr val="44546A"/>
    </a:dk2>
    <a:lt2>
      <a:srgbClr val="E7E6E6"/>
    </a:lt2>
    <a:accent1>
      <a:srgbClr val="F3734E"/>
    </a:accent1>
    <a:accent2>
      <a:srgbClr val="7E7FC0"/>
    </a:accent2>
    <a:accent3>
      <a:srgbClr val="68C7EB"/>
    </a:accent3>
    <a:accent4>
      <a:srgbClr val="7DCAA5"/>
    </a:accent4>
    <a:accent5>
      <a:srgbClr val="FDCC49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2565</Words>
  <Characters>2663</Characters>
  <Lines>0</Lines>
  <Paragraphs>0</Paragraphs>
  <TotalTime>51</TotalTime>
  <ScaleCrop>false</ScaleCrop>
  <LinksUpToDate>false</LinksUpToDate>
  <CharactersWithSpaces>2729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2019-08-16T09:00:00Z</dcterms:created>
  <dc:creator>忆欢游</dc:creator>
  <cp:lastModifiedBy>Administrator</cp:lastModifiedBy>
  <cp:lastPrinted>2025-01-06T01:19:00Z</cp:lastPrinted>
  <dcterms:modified xsi:type="dcterms:W3CDTF">2025-01-17T01:16:08Z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2A83EAEA5104428D943781FA3A6708A4_13</vt:lpwstr>
  </property>
  <property fmtid="{D5CDD505-2E9C-101B-9397-08002B2CF9AE}" pid="4" name="KSOTemplateDocerSaveRecord">
    <vt:lpwstr>eyJoZGlkIjoiZjczZjQzNWVkNmVjMjlkNjY0ZjgwMTg3ZjA2MjM4N2YifQ==</vt:lpwstr>
  </property>
</Properties>
</file>