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2E0C">
      <w:pPr>
        <w:spacing w:line="590" w:lineRule="exact"/>
        <w:ind w:right="-105" w:rightChars="-5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339C83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嘉祥县财政局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 w14:paraId="7DDDD1F6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 w14:paraId="7B9BE733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嘉祥县财政局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号）要求编制。</w:t>
      </w:r>
    </w:p>
    <w:p w14:paraId="48345434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B935080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日止。本报告电子版可在“嘉祥县人民政府”网站（http://www.jiaxiang.gov.cn/）政府信息公开专栏查阅或下载。如对本报告有疑问，请与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嘉祥县财政局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联系（地址：山东省济宁市嘉祥县呈祥路101号，联系电话：0537-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6506006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4063DD33"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1FFD1A59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2024年，县财政局认真贯彻落实上级关于政府信息公开工作的各项部署要求，坚持以公开为常态、不公开为例外，不断拓展公开内容，优化公开形式，提升公开实效，全力保障公众知情权、参与权与监督权。</w:t>
      </w:r>
    </w:p>
    <w:p w14:paraId="3323C83C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08D32D81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主动公开方面，通过县政府政务公开网站财政专栏，及时发布财政预算决算、政府采购等重点领域信息。本年度累计主动公开信息95条，其中预算决算信息33条，让公众清晰了解财政资金流向；政府采购信息15条，确保采购流程透明公正。</w:t>
      </w:r>
    </w:p>
    <w:p w14:paraId="655AC337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217805</wp:posOffset>
            </wp:positionV>
            <wp:extent cx="5256530" cy="2741295"/>
            <wp:effectExtent l="4445" t="4445" r="15875" b="16510"/>
            <wp:wrapTopAndBottom/>
            <wp:docPr id="3" name="图表 3" descr="7b0a202020202263686172745265734964223a202232303437363830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663C5D38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申请公开工作规范有序开展。全年共收到政府信息公开申请2件，均在规定时间内予以答复，答复率达100%。针对申请内容，严格按照依申请公开办理流程，认真审核、精准查找信息，与申请人充分沟通，确保答复内容准确、形式规范，保障申请人合法权益。</w:t>
      </w:r>
    </w:p>
    <w:p w14:paraId="43E6F486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155575</wp:posOffset>
            </wp:positionV>
            <wp:extent cx="4837430" cy="2054860"/>
            <wp:effectExtent l="4445" t="4445" r="15875" b="55245"/>
            <wp:wrapTopAndBottom/>
            <wp:docPr id="1" name="图表 1" descr="7b0a202020202263686172745265734964223a202232303437363435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0200015C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管理持续强化。建立健全信息审核发布机制，明确各科室信息报送职责，所有拟公开信息需经科室负责人、分管领导层层把关，重点审核信息准确性、保密性、合规性，从源头上保障公开信息质量。同时，定期对已公开信息进行梳理清查，及时更新、更正不准确或失效信息，确保信息时效性与权威性。</w:t>
      </w:r>
    </w:p>
    <w:p w14:paraId="59DE7608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6FA3E9B7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FF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信息公开平台建设稳步推进。充分发挥政务公开网站主阵地作用。积极开展线下政务公开活动，本年度精心组织了1次政府公开日活动，活动主题紧密围绕财政重点工作，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安排业务骨干为公众详细讲解财政政策、解答疑问。进一步增强了公众对财政信息公开的关注度与参与度。</w:t>
      </w:r>
    </w:p>
    <w:p w14:paraId="308E4221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05D93FDB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构建了全方位的监督保障体系，确保政府信息公开工作扎实推进。成立了以局主要领导为组长的信息公开监督小组，定期对各科室信息公开工作开展检查，重点查看信息公开的完整性、及时性以及准确性，对发现的问题及时通报并要求限期整改，主动接受社会各界监督，保障信息公开工作在阳光下运行。</w:t>
      </w:r>
    </w:p>
    <w:p w14:paraId="23B70452"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F1257A">
      <w:pPr>
        <w:spacing w:before="62" w:beforeLines="10" w:after="62" w:afterLines="10" w:line="600" w:lineRule="exact"/>
        <w:ind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DD4955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5BB8F7E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2D612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C6C211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0F771A1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5767072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2003924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60F8A22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61C5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CB3360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5D61DE2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1544F87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0E78110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38C3D7B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3BC87B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428F7CB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7168F47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7962528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1595E45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5ED34B6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1F13E16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5812E63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0974CE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F5577E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5CAFC98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5BA7124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4FFA687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5F52D60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7A45359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62B4231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0743074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22DA606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75DFA30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03905DB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1B6017B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02FC039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6B18246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2117D16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849115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2F6A89F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19B1B3E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2F5261C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60CB3B5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2DF260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FBF73D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752DDF5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732DFA7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0262C7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378E9C2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527E146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2916F56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E0A47A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6419DC4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17FBC97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4E9528C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3080DF9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1ACEB8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5B36BDF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AE998C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0A543DA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34EA324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3BDCBAD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7920E3B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6ED7B4B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15CA08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D2CCBD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5A74DC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7B0DF44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4AF664A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3716067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0248470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AA2165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D9AC2B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4A7105E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117D2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3A37086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76B43D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3CECF94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A4C70A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C51DE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BB05D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59086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D5194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BC6B4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AFBAB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03F5C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C9BDB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5D7D0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063C9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5965C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1B9FB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AD955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D5903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4EA26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18041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27B5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4ABD0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5301E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3403B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9B8CC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D8670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18F58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A9B44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F773F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C3C54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966D8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8FA1C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38FA0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F64FF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A479B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93682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261CB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3AC3E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8DCCB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4EDBE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6992E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35859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22874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F4896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E6401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EDF55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FFEA0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C4E39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E029D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C5620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6730E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28EC4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26E60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D64565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2A37F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A9658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1B064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DC1AA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8C4671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098E3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EA2AE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334833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4243FD8">
            <w:pPr>
              <w:spacing w:line="300" w:lineRule="exac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4139E82"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D0EB13B"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6F5DA4FD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存在问题：信息公开的主动性不足。部分科室存在“被动公开”思维，习惯于等待上级要求或公众申请，缺乏主动挖掘有价值信息并及时公开的意识。</w:t>
      </w:r>
    </w:p>
    <w:p w14:paraId="315A5EC9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改进措施：强化主动公开意识，建立信息公开激励机制。定期组织科室培训学习，深入剖析政府信息公开对于提升财政公信力、保障公众监督权的重要意义，转变工作观念。</w:t>
      </w:r>
    </w:p>
    <w:p w14:paraId="616398B6"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37DDF25F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（一）依据《政府信息公开信息处理费管理办法》嘉祥县财政局2024年没有收取信息处理费情况；</w:t>
      </w:r>
    </w:p>
    <w:p w14:paraId="4D4EE0E7">
      <w:pPr>
        <w:spacing w:line="590" w:lineRule="exact"/>
        <w:ind w:right="-105" w:rightChars="-50" w:firstLine="643" w:firstLineChars="20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（二）本年度，县财政局在落实上级年度政务公开工作要点方面成效显著。严格对照要点要求，细化任务分解，在财政预算决算，政府采购等重点领域，紧跟上级步伐，深化政务公开工作，为县域经济社会发展提供有力支撑；</w:t>
      </w:r>
    </w:p>
    <w:p w14:paraId="7F7F19C1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（三）我单位2024年未收到人大代表建议与政协提案。</w:t>
      </w:r>
    </w:p>
    <w:p w14:paraId="4F03B2E4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</w:p>
    <w:p w14:paraId="79B1B6AF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 w14:paraId="36D01ACA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 w14:paraId="41E25EF6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 w14:paraId="77FA9F7E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 w14:paraId="46C3C8A7"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60BFEC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855121-26CE-478D-BD98-B2D70C582F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BA4C162-EC87-4247-8D1B-7828DB87EF4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075331E-99DF-400C-8FB0-1A3106B4B2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02664F1-E3EC-4C1A-B32D-74E98C6747E3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F4FBA5F-8F00-45B0-832C-C73A6D493260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F02AC1D-2909-490D-B103-5D3E75C1A7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A262C24-CDFC-4900-B58B-BA9DB3C39A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F3075"/>
    <w:rsid w:val="0A6A44EC"/>
    <w:rsid w:val="1D3B1C94"/>
    <w:rsid w:val="3220355E"/>
    <w:rsid w:val="364A314F"/>
    <w:rsid w:val="3BED2703"/>
    <w:rsid w:val="53366494"/>
    <w:rsid w:val="5D1B603A"/>
    <w:rsid w:val="653D2954"/>
    <w:rsid w:val="70E228D1"/>
    <w:rsid w:val="781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5" Type="http://schemas.microsoft.com/office/2011/relationships/chartColorStyle" Target="colors2.xml"/><Relationship Id="rId4" Type="http://schemas.microsoft.com/office/2011/relationships/chartStyle" Target="style2.xml"/><Relationship Id="rId3" Type="http://schemas.openxmlformats.org/officeDocument/2006/relationships/image" Target="../media/image1.png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2024年主动公开信息示意图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blipFill rotWithShape="1">
              <a:blip xmlns:r="http://schemas.openxmlformats.org/officeDocument/2006/relationships" r:embed="rId3">
                <a:duotone>
                  <a:schemeClr val="accent1"/>
                  <a:prstClr val="white"/>
                </a:duotone>
              </a:blip>
              <a:stretch>
                <a:fillRect/>
              </a:stretch>
            </a:blip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预算决算信息</c:v>
                </c:pt>
                <c:pt idx="1">
                  <c:v>行政事业性收费目录</c:v>
                </c:pt>
                <c:pt idx="2">
                  <c:v>政府采购信息</c:v>
                </c:pt>
                <c:pt idx="3">
                  <c:v>行政执法公示信息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33</c:v>
                </c:pt>
                <c:pt idx="1">
                  <c:v>27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547613307"/>
        <c:axId val="351747633"/>
      </c:barChart>
      <c:catAx>
        <c:axId val="5476133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0"/>
                  <a:lumOff val="50000"/>
                  <a:alpha val="2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50000"/>
                <a:lumOff val="50000"/>
                <a:alpha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351747633"/>
        <c:crosses val="autoZero"/>
        <c:auto val="1"/>
        <c:lblAlgn val="ctr"/>
        <c:lblOffset val="100"/>
        <c:noMultiLvlLbl val="0"/>
      </c:catAx>
      <c:valAx>
        <c:axId val="351747633"/>
        <c:scaling>
          <c:orientation val="minMax"/>
        </c:scaling>
        <c:delete val="1"/>
        <c:axPos val="l"/>
        <c:majorGridlines>
          <c:spPr>
            <a:ln w="6350" cap="flat" cmpd="sng" algn="ctr">
              <a:solidFill>
                <a:schemeClr val="tx1">
                  <a:lumMod val="50000"/>
                  <a:lumOff val="50000"/>
                  <a:alpha val="2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5476133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7a725c64-fb4c-43e5-b208-4ade252d952b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15000"/>
        </a:schemeClr>
      </a:solidFill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cap="all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2024年依申请公开情况示意图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2024年依申请公开答复情况示意图</c:v>
                </c:pt>
              </c:strCache>
            </c:strRef>
          </c:tx>
          <c:spPr>
            <a:ln>
              <a:solidFill>
                <a:schemeClr val="bg1"/>
              </a:solidFill>
            </a:ln>
            <a:effectLst>
              <a:glow rad="88900">
                <a:schemeClr val="accent1">
                  <a:satMod val="175000"/>
                  <a:alpha val="40000"/>
                </a:schemeClr>
              </a:glow>
            </a:effectLst>
          </c:spPr>
          <c:explosion val="0"/>
          <c:dPt>
            <c:idx val="0"/>
            <c:bubble3D val="0"/>
            <c:explosion val="1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>
                <a:glow rad="88900">
                  <a:schemeClr val="accent1">
                    <a:satMod val="175000"/>
                    <a:alpha val="40000"/>
                  </a:schemeClr>
                </a:glo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>
                <a:glow rad="88900">
                  <a:schemeClr val="accent2">
                    <a:alpha val="40000"/>
                  </a:schemeClr>
                </a:glow>
              </a:effectLst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1" i="0" u="none" strike="noStrike" kern="1200" spc="0" baseline="0">
                      <a:solidFill>
                        <a:schemeClr val="bg1"/>
                      </a:solidFill>
                      <a:latin typeface="微软雅黑" panose="020B0503020204020204" charset="-122"/>
                      <a:ea typeface="微软雅黑" panose="020B0503020204020204" charset="-122"/>
                      <a:cs typeface="微软雅黑" panose="020B0503020204020204" charset="-122"/>
                      <a:sym typeface="微软雅黑" panose="020B0503020204020204" charset="-122"/>
                    </a:defRPr>
                  </a:pPr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1" i="0" u="none" strike="noStrike" kern="1200" spc="0" baseline="0">
                      <a:solidFill>
                        <a:schemeClr val="bg1"/>
                      </a:solidFill>
                      <a:latin typeface="微软雅黑" panose="020B0503020204020204" charset="-122"/>
                      <a:ea typeface="微软雅黑" panose="020B0503020204020204" charset="-122"/>
                      <a:cs typeface="微软雅黑" panose="020B0503020204020204" charset="-122"/>
                      <a:sym typeface="微软雅黑" panose="020B0503020204020204" charset="-122"/>
                    </a:defRPr>
                  </a:pPr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1" i="0" u="none" strike="noStrike" kern="1200" spc="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予以公开</c:v>
                </c:pt>
                <c:pt idx="1">
                  <c:v>无法提供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ac9f06cf-0af7-4f0e-8ed1-0bf6f1d0511b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5">
    <a:dk1>
      <a:srgbClr val="000000"/>
    </a:dk1>
    <a:lt1>
      <a:srgbClr val="FFFFFF"/>
    </a:lt1>
    <a:dk2>
      <a:srgbClr val="44546A"/>
    </a:dk2>
    <a:lt2>
      <a:srgbClr val="E7E6E6"/>
    </a:lt2>
    <a:accent1>
      <a:srgbClr val="3CB8EC"/>
    </a:accent1>
    <a:accent2>
      <a:srgbClr val="77D1E8"/>
    </a:accent2>
    <a:accent3>
      <a:srgbClr val="FAC114"/>
    </a:accent3>
    <a:accent4>
      <a:srgbClr val="FE961C"/>
    </a:accent4>
    <a:accent5>
      <a:srgbClr val="E15441"/>
    </a:accent5>
    <a:accent6>
      <a:srgbClr val="6775FF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自定义 58">
    <a:dk1>
      <a:srgbClr val="000000"/>
    </a:dk1>
    <a:lt1>
      <a:srgbClr val="FFFFFF"/>
    </a:lt1>
    <a:dk2>
      <a:srgbClr val="44546A"/>
    </a:dk2>
    <a:lt2>
      <a:srgbClr val="E7E6E6"/>
    </a:lt2>
    <a:accent1>
      <a:srgbClr val="FF9205"/>
    </a:accent1>
    <a:accent2>
      <a:srgbClr val="EF534C"/>
    </a:accent2>
    <a:accent3>
      <a:srgbClr val="5DB020"/>
    </a:accent3>
    <a:accent4>
      <a:srgbClr val="468ED8"/>
    </a:accent4>
    <a:accent5>
      <a:srgbClr val="7058CA"/>
    </a:accent5>
    <a:accent6>
      <a:srgbClr val="C358CA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2280</Words>
  <Characters>2368</Characters>
  <Lines>0</Lines>
  <Paragraphs>0</Paragraphs>
  <TotalTime>21</TotalTime>
  <ScaleCrop>false</ScaleCrop>
  <LinksUpToDate>false</LinksUpToDate>
  <CharactersWithSpaces>2553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2025-01-09T02:04:00Z</dcterms:created>
  <dc:creator>Administrator</dc:creator>
  <cp:lastModifiedBy>橙光海角</cp:lastModifiedBy>
  <dcterms:modified xsi:type="dcterms:W3CDTF">2025-01-20T00:16:56Z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2611E4C4E6EB4A69846669EE2E442F2A_11</vt:lpwstr>
  </property>
  <property fmtid="{D5CDD505-2E9C-101B-9397-08002B2CF9AE}" pid="4" name="KSOTemplateDocerSaveRecord">
    <vt:lpwstr>eyJoZGlkIjoiZjkyNTRkZjBkZGE3ZjZjYmEwN2EzZTFkOTliNmEwMTciLCJ1c2VySWQiOiIyODMyMTY3NDIifQ==</vt:lpwstr>
  </property>
</Properties>
</file>