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嘉祥县医疗</w:t>
      </w:r>
      <w:bookmarkStart w:id="0" w:name="_GoBack"/>
      <w:bookmarkEnd w:id="0"/>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保障局</w:t>
      </w:r>
      <w:r>
        <w:rPr>
          <w:rFonts w:hint="eastAsia" w:ascii="Times New Roman" w:hAnsi="Times New Roman" w:eastAsia="方正小标宋简体" w:cs="Times New Roman"/>
          <w:b/>
          <w:color w:val="000000" w:themeColor="text1"/>
          <w:kern w:val="0"/>
          <w:sz w:val="44"/>
          <w:szCs w:val="44"/>
          <w:lang w:eastAsia="zh-CN"/>
          <w14:textFill>
            <w14:solidFill>
              <w14:schemeClr w14:val="tx1"/>
            </w14:solidFill>
          </w14:textFill>
        </w:rPr>
        <w:t>2024</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883" w:firstLineChars="20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本报告由嘉祥县医疗保障局按照《中华人民共和国政府信息公开条例》（以下简称《条例》）和《中华人民共和国政府信息公开工作年度报告格式》（国办公开办函〔2021〕30号）要求编制。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嘉祥县医疗保障局联系（地址：嘉祥县呈祥大道3号，联系电话：0537-6987006）。</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嘉祥县医疗保障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深入贯彻落实关于政务公开工作的决策部署及相关文件要求</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，结合工作实际，不断强化工作措施，积极结合部门工作特点，</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聚焦群众关注的医保领域热点，</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推进医疗保障重点领域信息公开，保障人民群众依法获取相关信息</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，有效促进了依法行政。</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2024年，我局通过政府门户网站、政务新媒体等多种渠道，主动公开政府信息共计</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55</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条，内容涵盖</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通知公告、工作动态</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财务信息、各险种运行情况、医疗救助数据、执法信息公示、政策文件</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等多个方面。其中，</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通知公告类信息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11条，</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工作动态类信息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财务信息类</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医疗救助数据类信息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各险种运行情况信息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4条，</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其他信息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center"/>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drawing>
          <wp:inline distT="0" distB="0" distL="114300" distR="114300">
            <wp:extent cx="4696460" cy="3159760"/>
            <wp:effectExtent l="4445" t="4445" r="23495"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年，我局受理依申请公开信息申请0条。</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聚焦医保领域重点工作，认真梳理主动公开信息</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。为了保障公民、法人和其他组织的知情权，规范网站信息审查发布工作，促进依法行政</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将政府信息工作任务分解到各科室，明确报送政府信息的要点、方法、程序</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局办公室对收集的信息进行审核把关，有力保障了政府信息公开工作顺利推进。</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一是充分利用嘉祥县政府门户网站平台，采取定期和不定期结合的方式，及时维护、发布工作动态信息。二是依托医保主题文化广场，</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直观立体地宣传医保“参保缴费、待遇保障、异地就医”等群众关注度较高的医保政策，使群众在日常生活中潜移默化地了解和接受医保政策知识。</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加强机制建设，强化责任分解。我局高度重视政务公开工作，</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形成</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了以局长为</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组长</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，分管领导任副组长，各科室负责人为成员的政务公开工作领导小组，为全面落实政府信息公开各项工作提供了有效的组织保障。</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同时，</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加强政务公开业务培训，从公开标准化、规范化入手，提升政务公开工作水平，确保工作顺利进行。</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bl>
    <w:p>
      <w:pPr>
        <w:numPr>
          <w:ilvl w:val="0"/>
          <w:numId w:val="1"/>
        </w:num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政府信息公开行政复议、行政诉讼情况</w:t>
      </w:r>
    </w:p>
    <w:p>
      <w:pPr>
        <w:numPr>
          <w:numId w:val="0"/>
        </w:numPr>
        <w:spacing w:line="590" w:lineRule="exact"/>
        <w:ind w:right="-105" w:rightChars="-50"/>
        <w:rPr>
          <w:rFonts w:hint="default" w:ascii="Times New Roman" w:hAnsi="Times New Roman" w:eastAsia="方正黑体简体" w:cs="Times New Roman"/>
          <w:b/>
          <w:kern w:val="0"/>
          <w:sz w:val="32"/>
          <w:szCs w:val="32"/>
        </w:rPr>
      </w:pP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bidi="ar"/>
              </w:rPr>
            </w:pPr>
            <w:r>
              <w:rPr>
                <w:rFonts w:hint="default" w:ascii="Times New Roman" w:hAnsi="Times New Roman" w:eastAsia="方正黑体简体" w:cs="Times New Roman"/>
                <w:b/>
                <w:kern w:val="0"/>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bl>
    <w:p>
      <w:pPr>
        <w:numPr>
          <w:ilvl w:val="0"/>
          <w:numId w:val="2"/>
        </w:num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楷体" w:cs="Times New Roman"/>
          <w:b/>
          <w:color w:val="000000" w:themeColor="text1"/>
          <w:kern w:val="0"/>
          <w:sz w:val="32"/>
          <w:szCs w:val="32"/>
          <w:lang w:eastAsia="zh-CN"/>
          <w14:textFill>
            <w14:solidFill>
              <w14:schemeClr w14:val="tx1"/>
            </w14:solidFill>
          </w14:textFill>
        </w:rPr>
        <w:t>（一）存在问题。</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年，我局政府信息公开工作取得了一定的成效，但也存在一些问题和不足，主要表现在：一是政务公开专职人员业务水平、工作能力有待进一步加强。二是政务公开信息及时性和规范性有待提高。</w:t>
      </w:r>
    </w:p>
    <w:p>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楷体" w:cs="Times New Roman"/>
          <w:b/>
          <w:color w:val="000000" w:themeColor="text1"/>
          <w:kern w:val="0"/>
          <w:sz w:val="32"/>
          <w:szCs w:val="32"/>
          <w:lang w:eastAsia="zh-CN"/>
          <w14:textFill>
            <w14:solidFill>
              <w14:schemeClr w14:val="tx1"/>
            </w14:solidFill>
          </w14:textFill>
        </w:rPr>
        <w:t>（二）改进措施。</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一是加强政务公开负责科室、工作人员法律法规知识、业务操作培训，全面提升政务公开的理念意识和工作能力。二是我局将认真梳理社会公众普遍关心以及与群众生活密切相关的信息，及时进行信息公开，公开内容做到真实、具体、全面。</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eastAsia="zh-CN"/>
        </w:rPr>
        <w:t>（一）</w:t>
      </w:r>
      <w:r>
        <w:rPr>
          <w:rFonts w:hint="eastAsia" w:ascii="Times New Roman" w:hAnsi="Times New Roman" w:eastAsia="方正仿宋简体" w:cs="Times New Roman"/>
          <w:b/>
          <w:kern w:val="0"/>
          <w:sz w:val="32"/>
          <w:szCs w:val="32"/>
          <w:lang w:val="en-US" w:eastAsia="zh-CN"/>
        </w:rPr>
        <w:t xml:space="preserve"> 2024</w:t>
      </w:r>
      <w:r>
        <w:rPr>
          <w:rFonts w:hint="default" w:ascii="Times New Roman" w:hAnsi="Times New Roman" w:eastAsia="方正仿宋简体" w:cs="Times New Roman"/>
          <w:b/>
          <w:kern w:val="0"/>
          <w:sz w:val="32"/>
          <w:szCs w:val="32"/>
        </w:rPr>
        <w:t>年度</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县医疗保障局</w:t>
      </w:r>
      <w:r>
        <w:rPr>
          <w:rFonts w:hint="default" w:ascii="Times New Roman" w:hAnsi="Times New Roman" w:eastAsia="方正仿宋简体" w:cs="Times New Roman"/>
          <w:b/>
          <w:kern w:val="0"/>
          <w:sz w:val="32"/>
          <w:szCs w:val="32"/>
        </w:rPr>
        <w:t>无收取信息处理费的情况。</w:t>
      </w:r>
    </w:p>
    <w:p>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kern w:val="0"/>
          <w:sz w:val="32"/>
          <w:szCs w:val="32"/>
        </w:rPr>
        <w:t>（二）</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政务公开要点落实情况。</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4年，县医疗保障局围绕医保重点任务事项，做好重点公开，推进政务公开与重大民生实事相结合。以切实保障基本民生、推动解决重点民生问题为着力点，打造为民、便民、惠民、利民的高质量政务公开。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（三）2024年，本单位未收到人大代表建议和政协提案。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59D0E82B-020B-4BDE-BBCE-C08BC3498726}"/>
  </w:font>
  <w:font w:name="方正黑体简体">
    <w:panose1 w:val="03000509000000000000"/>
    <w:charset w:val="86"/>
    <w:family w:val="auto"/>
    <w:pitch w:val="default"/>
    <w:sig w:usb0="00000001" w:usb1="080E0000" w:usb2="00000000" w:usb3="00000000" w:csb0="00040000" w:csb1="00000000"/>
    <w:embedRegular r:id="rId2" w:fontKey="{A292CCC0-87DF-4895-8D04-ED9652DA9F37}"/>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982751A8-3514-4005-A770-6168FC1DCAD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8307B"/>
    <w:multiLevelType w:val="singleLevel"/>
    <w:tmpl w:val="BF98307B"/>
    <w:lvl w:ilvl="0" w:tentative="0">
      <w:start w:val="5"/>
      <w:numFmt w:val="chineseCounting"/>
      <w:suff w:val="nothing"/>
      <w:lvlText w:val="%1、"/>
      <w:lvlJc w:val="left"/>
      <w:rPr>
        <w:rFonts w:hint="eastAsia"/>
      </w:rPr>
    </w:lvl>
  </w:abstractNum>
  <w:abstractNum w:abstractNumId="1">
    <w:nsid w:val="31F4F611"/>
    <w:multiLevelType w:val="singleLevel"/>
    <w:tmpl w:val="31F4F61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YTA1Y2VmNmI4OWQ4MGU2ZjM5YjAzYzExNzRlOGYifQ=="/>
  </w:docVars>
  <w:rsids>
    <w:rsidRoot w:val="656B6469"/>
    <w:rsid w:val="0D8458C4"/>
    <w:rsid w:val="10524210"/>
    <w:rsid w:val="1392435E"/>
    <w:rsid w:val="149C0E9D"/>
    <w:rsid w:val="1C614ACF"/>
    <w:rsid w:val="219F586F"/>
    <w:rsid w:val="25DF1492"/>
    <w:rsid w:val="2A8327EF"/>
    <w:rsid w:val="2B0B1774"/>
    <w:rsid w:val="38811E87"/>
    <w:rsid w:val="3AAE75E9"/>
    <w:rsid w:val="4A0569CF"/>
    <w:rsid w:val="55BF019C"/>
    <w:rsid w:val="59243FBA"/>
    <w:rsid w:val="5C9A677B"/>
    <w:rsid w:val="656B6469"/>
    <w:rsid w:val="6DB42C46"/>
    <w:rsid w:val="6F5A4F08"/>
    <w:rsid w:val="725C48F5"/>
    <w:rsid w:val="777A4144"/>
    <w:rsid w:val="7ABD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382909680909"/>
          <c:y val="0.0474186243459129"/>
          <c:w val="0.51487290427258"/>
          <c:h val="0.765273311897106"/>
        </c:manualLayout>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通知公告</c:v>
                </c:pt>
                <c:pt idx="1">
                  <c:v>工作动态</c:v>
                </c:pt>
                <c:pt idx="2">
                  <c:v>财务信息</c:v>
                </c:pt>
                <c:pt idx="3">
                  <c:v>各险种</c:v>
                </c:pt>
                <c:pt idx="4">
                  <c:v>医疗救助信息</c:v>
                </c:pt>
                <c:pt idx="5">
                  <c:v>其他信息</c:v>
                </c:pt>
              </c:strCache>
            </c:strRef>
          </c:cat>
          <c:val>
            <c:numRef>
              <c:f>Sheet1!$B$2:$B$7</c:f>
              <c:numCache>
                <c:formatCode>General</c:formatCode>
                <c:ptCount val="6"/>
                <c:pt idx="0">
                  <c:v>11</c:v>
                </c:pt>
                <c:pt idx="1">
                  <c:v>8</c:v>
                </c:pt>
                <c:pt idx="2">
                  <c:v>6</c:v>
                </c:pt>
                <c:pt idx="3">
                  <c:v>4</c:v>
                </c:pt>
                <c:pt idx="4">
                  <c:v>4</c:v>
                </c:pt>
                <c:pt idx="5">
                  <c:v>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247431043807463"/>
          <c:y val="0.851286173633441"/>
          <c:w val="0.936587344510546"/>
          <c:h val="0.142684887459807"/>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2313</Words>
  <Characters>2408</Characters>
  <Lines>0</Lines>
  <Paragraphs>0</Paragraphs>
  <TotalTime>122</TotalTime>
  <ScaleCrop>false</ScaleCrop>
  <LinksUpToDate>false</LinksUpToDate>
  <CharactersWithSpaces>2559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2025-01-07T00:39:00Z</dcterms:created>
  <dc:creator>任先锋</dc:creator>
  <cp:lastModifiedBy>任先锋</cp:lastModifiedBy>
  <cp:lastPrinted>2025-01-09T01:28:00Z</cp:lastPrinted>
  <dcterms:modified xsi:type="dcterms:W3CDTF">2025-01-14T10:01:38Z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7B971ACE34124C079F87B240C9426486_11</vt:lpwstr>
  </property>
</Properties>
</file>