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嘉祥县民政局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嘉祥县民政局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年12月31日止。本报告电子版可在“嘉祥县人民政府”网站（http://www.jiaxiang.gov.cn/）政府信息公开专栏查阅或下载。如对本报告有疑问，请与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嘉祥县民政局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嘉祥县为民服务中心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12楼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6987288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年，嘉祥县民政局在县委、县政府的正确领导和县政务公开办公室的精心指导下，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全力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规范办事程序、提高服务质量、推进依法行政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，坚持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加大公开力度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深化公开内容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提升公开实效，积极推动政务公开工作深入开展。现将有关情况汇报如下：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嘉祥县民政局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不断强化政府信息主动公开，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主动规范公开社会救助、养老服务、社会福利等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涉及公众利益调整、需要公众广泛知晓或者需要公众参与决策的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全年共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主动公开政府信息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175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条，其中养老服务类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条，占总量的2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%，社会救助类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条，占总量的2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%，社会福利类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条，占总量的16%，其他专项信息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46990</wp:posOffset>
            </wp:positionV>
            <wp:extent cx="4826000" cy="2743200"/>
            <wp:effectExtent l="4445" t="4445" r="8255" b="14605"/>
            <wp:wrapTopAndBottom/>
            <wp:docPr id="5" name="图表 4" descr="7b0a202020202263686172745265734964223a20223230343732323034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年度县民政局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收到依申请公开件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已严格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按照要求在规定时间内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结合民政工作实际，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围绕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群众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关切，制定了关于深化政务公开工作的相关制度，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进一步完善公开制度规范。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坚持重点领域及时公开，根据年度重点任务及时更新完善了主动公开目录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，确保民政业务工作办理公开、阳光、透明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。严格按照《条例》要求，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明确专人对拟公开的信息从内容、文字、格式等方面加以规范，确保信息发布及时、准确、规范、高效。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年，县民政局在优化政务公开栏目、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规范政务公开工作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等方面进行了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提升完善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。在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往年公开栏目的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基础上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，对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“养老服务”专栏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进行了重新分栏归类，栏目更加科学规范、清晰明了，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进一步方便了群众分类浏览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、快速查阅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建立社会救助“码上查”平台，扩宽社会救助政策公开和查询渠道，群众手机扫码即可查询低保、特困、残疾人“两补”等系列救助政策。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定期召开领导小组会议，专题研究政务公开工作。召开了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次政务公开培训工作会议，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提升政务公开业务水平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。将政务公开工作考核纳入单位年度考核中，由局办公室负责日常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统筹监督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工作，充分调动了各科室、局属单位工作积极性。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2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2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2023年，县民政局政务信息公开工作虽然取得了一定的成绩，但与《条例》要求和上级部署、与群众的期望相比还有一定差距。一是政务信息公开管理有待加强。二是业务人员能力水平有待提高。下步工作中，一是强化认识，规范程序。进一步提高全局政务公开意识和服务意识，持续健全完善公开审核、保密审查、舆情管控等监督管理制度，使政务公开工作在制度化、规范化方面更完善。二是加强培训，提升水平。立足政务公开更规范、更科学、更高效，加强政务公开业务培训，提高政策把握、解疑释惑和回应引导能力，努力提升政务公开业务水平和问题处置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（一）依据《政府信息公开信息处理费管理办法》，嘉祥县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民政局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年没有收取信息处理费情况。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（二）202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年，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县民政局全面梳理社会救助、养老服务、社会福利等重点领域救助保障政策，严格按照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《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嘉祥县政务公开工作任务分解表》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按月更新了资金保障有关情况，及时公开了最新政策文件。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（三）人大代表建议和政协提案办理结果公开情况：2023年，本单位未收到人大代表建议,收到政协提案10件，均已办结完毕，办结率、答复率、满意率均为100%。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TUzYTdiZThhMzRiYzVhMTJmNjVmNzM3MzEzNjMifQ=="/>
  </w:docVars>
  <w:rsids>
    <w:rsidRoot w:val="424D7A1D"/>
    <w:rsid w:val="06F6567E"/>
    <w:rsid w:val="2546332C"/>
    <w:rsid w:val="424D7A1D"/>
    <w:rsid w:val="4E6039A2"/>
    <w:rsid w:val="539B2CF2"/>
    <w:rsid w:val="5C3263FF"/>
    <w:rsid w:val="6E0E70E0"/>
    <w:rsid w:val="786A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t>主动公开情况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25"/>
      <c:rotY val="0"/>
      <c:depthPercent val="10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ln w="15875" cmpd="sng">
              <a:solidFill>
                <a:schemeClr val="bg1"/>
              </a:solidFill>
              <a:prstDash val="solid"/>
            </a:ln>
            <a:effectLst>
              <a:outerShdw blurRad="63500" sx="102000" sy="102000" algn="ctr" rotWithShape="0">
                <a:prstClr val="black">
                  <a:alpha val="35000"/>
                </a:prstClr>
              </a:outerShdw>
            </a:effectLst>
            <a:scene3d>
              <a:camera prst="orthographicFront"/>
              <a:lightRig rig="threePt" dir="t"/>
            </a:scene3d>
            <a:sp3d contourW="15875" prstMaterial="flat"/>
          </c:spPr>
          <c:explosion val="0"/>
          <c:dPt>
            <c:idx val="0"/>
            <c:bubble3D val="0"/>
            <c:spPr>
              <a:gradFill>
                <a:gsLst>
                  <a:gs pos="0">
                    <a:schemeClr val="accent1">
                      <a:lumMod val="60000"/>
                      <a:lumOff val="40000"/>
                    </a:schemeClr>
                  </a:gs>
                  <a:gs pos="70000">
                    <a:schemeClr val="accent1"/>
                  </a:gs>
                </a:gsLst>
                <a:lin ang="13500000" scaled="0"/>
              </a:gradFill>
              <a:ln w="15875" cmpd="sng">
                <a:solidFill>
                  <a:schemeClr val="accent1">
                    <a:lumMod val="75000"/>
                  </a:schemeClr>
                </a:solidFill>
                <a:prstDash val="solid"/>
              </a:ln>
              <a:effectLst>
                <a:outerShdw blurRad="63500" sx="102000" sy="102000" algn="ctr" rotWithShape="0">
                  <a:prstClr val="black">
                    <a:alpha val="35000"/>
                  </a:prstClr>
                </a:outerShdw>
              </a:effectLst>
              <a:scene3d>
                <a:camera prst="orthographicFront"/>
                <a:lightRig rig="threePt" dir="t"/>
              </a:scene3d>
              <a:sp3d contourW="15875" prstMaterial="flat"/>
            </c:spPr>
          </c:dPt>
          <c:dPt>
            <c:idx val="1"/>
            <c:bubble3D val="0"/>
            <c:explosion val="0"/>
            <c:spPr>
              <a:gradFill>
                <a:gsLst>
                  <a:gs pos="0">
                    <a:schemeClr val="accent2">
                      <a:lumMod val="60000"/>
                      <a:lumOff val="40000"/>
                    </a:schemeClr>
                  </a:gs>
                  <a:gs pos="94000">
                    <a:schemeClr val="accent2"/>
                  </a:gs>
                </a:gsLst>
                <a:lin ang="13500000" scaled="0"/>
              </a:gradFill>
              <a:ln w="15875" cmpd="sng">
                <a:solidFill>
                  <a:schemeClr val="accent2">
                    <a:lumMod val="75000"/>
                  </a:schemeClr>
                </a:solidFill>
                <a:prstDash val="solid"/>
              </a:ln>
              <a:effectLst>
                <a:outerShdw blurRad="63500" sx="102000" sy="102000" algn="ctr" rotWithShape="0">
                  <a:prstClr val="black">
                    <a:alpha val="35000"/>
                  </a:prstClr>
                </a:outerShdw>
              </a:effectLst>
              <a:scene3d>
                <a:camera prst="orthographicFront"/>
                <a:lightRig rig="threePt" dir="t"/>
              </a:scene3d>
              <a:sp3d contourW="15875" prstMaterial="flat"/>
            </c:spPr>
          </c:dPt>
          <c:dPt>
            <c:idx val="2"/>
            <c:bubble3D val="0"/>
            <c:spPr>
              <a:gradFill>
                <a:gsLst>
                  <a:gs pos="0">
                    <a:schemeClr val="accent3">
                      <a:lumMod val="60000"/>
                      <a:lumOff val="40000"/>
                    </a:schemeClr>
                  </a:gs>
                  <a:gs pos="70000">
                    <a:schemeClr val="accent3"/>
                  </a:gs>
                </a:gsLst>
                <a:lin ang="13500000" scaled="0"/>
              </a:gradFill>
              <a:ln w="15875" cmpd="sng">
                <a:solidFill>
                  <a:schemeClr val="accent3">
                    <a:lumMod val="75000"/>
                  </a:schemeClr>
                </a:solidFill>
                <a:prstDash val="solid"/>
              </a:ln>
              <a:effectLst>
                <a:outerShdw blurRad="63500" sx="102000" sy="102000" algn="ctr" rotWithShape="0">
                  <a:prstClr val="black">
                    <a:alpha val="35000"/>
                  </a:prstClr>
                </a:outerShdw>
              </a:effectLst>
              <a:scene3d>
                <a:camera prst="orthographicFront"/>
                <a:lightRig rig="threePt" dir="t"/>
              </a:scene3d>
              <a:sp3d contourW="15875" prstMaterial="flat"/>
            </c:spPr>
          </c:dPt>
          <c:dPt>
            <c:idx val="3"/>
            <c:bubble3D val="0"/>
            <c:explosion val="0"/>
            <c:spPr>
              <a:gradFill>
                <a:gsLst>
                  <a:gs pos="0">
                    <a:schemeClr val="accent4">
                      <a:lumMod val="60000"/>
                      <a:lumOff val="40000"/>
                    </a:schemeClr>
                  </a:gs>
                  <a:gs pos="70000">
                    <a:schemeClr val="accent4"/>
                  </a:gs>
                </a:gsLst>
                <a:lin ang="13500000" scaled="0"/>
              </a:gradFill>
              <a:ln w="15875" cmpd="sng">
                <a:solidFill>
                  <a:schemeClr val="accent4">
                    <a:lumMod val="75000"/>
                  </a:schemeClr>
                </a:solidFill>
                <a:prstDash val="solid"/>
              </a:ln>
              <a:effectLst>
                <a:outerShdw blurRad="63500" sx="102000" sy="102000" algn="ctr" rotWithShape="0">
                  <a:prstClr val="black">
                    <a:alpha val="35000"/>
                  </a:prstClr>
                </a:outerShdw>
              </a:effectLst>
              <a:scene3d>
                <a:camera prst="orthographicFront"/>
                <a:lightRig rig="threePt" dir="t"/>
              </a:scene3d>
              <a:sp3d contourW="15875" prstMaterial="flat"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[工作簿1]Sheet1!$A$2:$A$5</c:f>
              <c:strCache>
                <c:ptCount val="4"/>
                <c:pt idx="0">
                  <c:v>养老服务</c:v>
                </c:pt>
                <c:pt idx="1">
                  <c:v>社会救助</c:v>
                </c:pt>
                <c:pt idx="2">
                  <c:v>社会福利</c:v>
                </c:pt>
                <c:pt idx="3">
                  <c:v>其他</c:v>
                </c:pt>
              </c:strCache>
            </c:strRef>
          </c:cat>
          <c:val>
            <c:numRef>
              <c:f>[工作簿1]Sheet1!$B$2:$B$5</c:f>
              <c:numCache>
                <c:formatCode>General</c:formatCode>
                <c:ptCount val="4"/>
                <c:pt idx="0">
                  <c:v>50</c:v>
                </c:pt>
                <c:pt idx="1">
                  <c:v>45</c:v>
                </c:pt>
                <c:pt idx="2">
                  <c:v>28</c:v>
                </c:pt>
                <c:pt idx="3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760">
    <a:dk1>
      <a:srgbClr val="000000"/>
    </a:dk1>
    <a:lt1>
      <a:srgbClr val="FFFFFF"/>
    </a:lt1>
    <a:dk2>
      <a:srgbClr val="0C0E1F"/>
    </a:dk2>
    <a:lt2>
      <a:srgbClr val="FEFFFF"/>
    </a:lt2>
    <a:accent1>
      <a:srgbClr val="FFEFC1"/>
    </a:accent1>
    <a:accent2>
      <a:srgbClr val="FFD66C"/>
    </a:accent2>
    <a:accent3>
      <a:srgbClr val="A0E5E3"/>
    </a:accent3>
    <a:accent4>
      <a:srgbClr val="50AEAA"/>
    </a:accent4>
    <a:accent5>
      <a:srgbClr val="54C9FA"/>
    </a:accent5>
    <a:accent6>
      <a:srgbClr val="EF77F7"/>
    </a:accent6>
    <a:hlink>
      <a:srgbClr val="304FFE"/>
    </a:hlink>
    <a:folHlink>
      <a:srgbClr val="492067"/>
    </a:folHlink>
  </a:clrScheme>
  <a:fontScheme name="自定义 2">
    <a:majorFont>
      <a:latin typeface="微软雅黑"/>
      <a:ea typeface="微软雅黑"/>
      <a:cs typeface=""/>
    </a:majorFont>
    <a:minorFont>
      <a:latin typeface="微软雅黑"/>
      <a:ea typeface="微软雅黑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2024-01-15T07:56:00Z</dcterms:created>
  <dc:creator>我要吃西瓜</dc:creator>
  <cp:lastModifiedBy>我要吃西瓜</cp:lastModifiedBy>
  <dcterms:modified xsi:type="dcterms:W3CDTF">2024-03-01T06:08:32Z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39B1D4BBD0D24939BDC8F2068C4170C0_11</vt:lpwstr>
  </property>
</Properties>
</file>