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嘉政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〔2023〕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嘉祥县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关于印发山东省建设全国乡村教育振兴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先行区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嘉祥县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专项工作方案的通知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各镇（街道）人民政府（办事处），嘉祥经济开发区管委会，县直有关部门：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《山东省建设全国乡村教育振兴先行区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专项工作方案》已经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人民政府办公室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2023年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山东省建设全国乡村教育振兴先行区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嘉祥县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专项工作方案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加快城乡教育一体化高质量发展，充分发挥教育在乡村振兴中的基础性、先导性作用，全面优化县域教育资源配置，结合我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实际，制定如下工作方案。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坚持以习近平新时代中国特色社会主义思想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党的二十大精神为指导，落实黄河流域生态保护和高质量发展重大国家战略，深化乡村教育管理体制改革，加强优质教育资源供给，建强优秀教师队伍，关爱特殊儿童群体，提升教育内涵质量，真正办好人民满意的教育，努力为山东建设全国乡村教育振兴先行区作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贡献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到2027年，城乡一体的教育资源配置机制全面建立，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（含幼儿园，下同）办学条件全面改善，教师队伍素质全面提升，教育教学质量全面提高，城市与农村义务教育教师本科及以上学历比例之比降至1.05以内，通过县域义务教育优质均衡发展和学前教育普及普惠国家认定。到2035年，城乡教育优质均衡发展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村教育独具特色，服务引领乡村振兴的功能充分发挥，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村教育现代化全面实现。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1. 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村全环境立德树人工程。坚持党对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村学校的全面领导，逐步推行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村学校党组织领导的校长负责制。推动党建工作与教育教学、德育和思想政治工作深度融合。加强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村学校党建带团建、队建，推动党团队育人链条相衔接、相贯通。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一校一案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定全环境立德树人实施方案，落实全员、全过程、全方位育人责任。开展乡村文明校园、绿色校园、书香校园、温馨校园建设活动，强化校园环境育人功能。加强乡村学校家长委员会和家长学校建设，依托文明实践所（站），普遍建立家长学校或家庭教育指导服务站点，到2025年实现全覆盖。充分利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村自然人文资源，开设特色课程，形成育人合力。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教育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和体育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局牵头，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委组织部、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县文明办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团县委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县妇联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县发展和改革局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县文化和旅游局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2. 抬高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村教育底部。全面增强镇域驻地教育公共服务功能和辐射带动作用，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十四五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期间争取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2—3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纳入省级试点。深入推进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百强乡镇中学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百强乡镇小学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创建任务，带动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基础教育质量全面提升。完善农村学校管理机制，结合义务教育学区制度，选优配强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学区（联区）主任，主任由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驻地的初中或中心小学校长兼任，教育指导员由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驻地的中小学相关人员兼任，负责学区（联区）教育教学业务管理工作。鼓励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公办初中、小学、幼儿园按学段整合为三个或多个独立法人机构，实行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一校多区、一园多点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一体化管理模式，提升教育资源管理使用效益。（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县教育和体育局牵头，县发展和改革局、县委编办、县人力资源和社会保障局配合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3. 全面提升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学校办学条件。实施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学校标准化建设系列工程，2027年所有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驻地学校均达到省定II类以上办学条件标准。全面改善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驻地学校寄宿条件，支持有需求的地方在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驻地改扩建一批寄宿制小学。实施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幼儿园规范化建设系列工程，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加快构建幼儿园托幼一体化服务体系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，补齐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村幼儿园游戏场地、保教设施、幼儿图书、玩教具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、托育服务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等短板，2027年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中心幼儿园全部达到省级示范幼儿园标准。在充分尊重群众意愿、保障校车接送和午餐标准配备等服务的基础上，稳妥撤并办学质量低、生源持续萎缩的小规模学校或教学点。（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县教育和体育局牵头，县发展和改革局、县公安局、县自然资源和规划局、县住房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城乡建设局、县交通运输局、县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水务局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、县农业农村局、县卫生健康局、县市场监管局配合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4. 加强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村校（园）长队伍建设。加大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优秀校长培育配备力度，严格校长选任条件，遴选一批城区年轻后备校长到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村担任校长（副校长），到2027年，县域内45周岁以下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村学校校长（含副校长）原则上达到50%以上。实行义务教育学校校长城乡定期交流轮岗机制，在一所学校连续任职满2个任期的校长或副校长，原则上应进行城乡学校交流。实施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村校长市级专题培训，组织初中校长全员培训和小学幼儿园骨干校（园）长培训，新任职校长必须按照教育部有关规定接受岗前任职培训。（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县教育和体育局牵头，县委组织部、县委编办、县人力资源和社会保障局配合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5. 深化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村教师队伍建设改革。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按照有关政策要求，严格按照师生比核定教职工编制，落实镇街“中心校”模式，并在核定的编制内根据实际情况动态调整。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提高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村教师招聘岗位的科学性和针对性，逐步配齐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村学校紧缺学科教师。全面实行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村学区内教师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走教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制度，在考核评价、绩效分配、职称评聘等方面给予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走教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教师倾斜。加大公费师范生接受安置力度，落实师范生实习支教计划。深化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县管校聘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改革，探索建立义务教育阶段教师农村学校服务期制度，实行新任职教师前两个聘期城乡学校捆绑聘用制度，新任职的省属公费师范生可根据实际参照执行，其农村服务年限可分段合并计算。实施义务教育教师学历提升计划，2027年实现农村义务教育学校专任教师学历普遍达到本科层次。开展县域教师教育协同创新试点，将优质培训资源引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村学校，形成基于校本、立足岗位的教师专业发展新模式。深入实施乡村优秀青年教师培养奖励计划，每年遴选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一批县级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青年骨干教师予以重点培养。（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县教育和体育局牵头，县委编办、县财政局、县人力资源和社会保障局配合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6. 持续提高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村教师待遇。按规定落实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工作补贴政策，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落实偏远镇街乡村教师生活补助政策。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根据需求持续推进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村教师周转宿舍建设，满足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村教师居住和生活需要。落实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村教师年度健康体检制度，由同级财政单列资金予以保障。妥善解决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村教师子女教育问题，在入园入学方面提供便利条件。在最美教师、特级教师等各级各类宣传选树、资质评定中向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村教师予以倾斜。落实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定向评价、定向使用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政策，加大职称评聘向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村教师倾斜力度，提高教学实绩权重。鼓励和吸引社会力量建立专项基金，依照有关规定对符合条件的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村教师给予物质奖励和社会救助。（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县教育和体育局牵头，县发展和改革局、县民政局、县财政局、县人力资源和社会保障局、县住房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城乡建设局、县自然资源和规划局配合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7. 构建城乡教育发展共同体。实施强校扩优行动，以集团化、联盟化等方式，推动城区优质学校与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村学校结对共建、捆绑评价，2025年实现结对全覆盖。完善城乡一体化教研工作制度，建立市县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校三级教研共同体，落实城乡一体化教研管理体系，提高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村学校教研水平。全面落实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教研员定点联系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教研员帮扶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村学校制度。每学期选派名师送课下乡不少于20节次，指导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村教师更新教学理念，提高教学水平。（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科技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8. 提升县域高中阶段教育水平。实施县域普通高中发展提升计划，深化高中招生管理和教育教学改革。深化普通高中强科培优计划，支持建设省级学科基地，推进高中特色多样发展。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中职学校发挥辐射引领作用，同步推进特色化专业（群）建设，积极建设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3+2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2+3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五年一贯制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专业，举办初中后五年制高职教育。建设集中职教育、技工教育、五年制高职教育、技术推广、劳动力转移培训和社会生活教育为一体的职业学校，更好服务乡村振兴。（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县教育和体育局牵头，县人力资源和社会保障局配合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9. 打造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村学校办学特色。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加强特色学校建设，坚持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特色立校、特色强教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理念，提倡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一校一特色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，组织学生开展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三小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和体育艺术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2+1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活动，为学生全面发展奠定良好基础。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至2027年，每年遴选推广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一批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村学校特色精品活动案例。发挥好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乡村少年宫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作用，遴选建设一批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村学生研学基地，支持每所学校建设一处劳动实践场所，将学习从课堂延伸到大自然。实施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村学生进城拓展视野计划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，组织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村学校学生进城开展研学旅行等校外实践体验活动。发挥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村学校小班化优势，开展差异化教学和个别化指导。打造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村教学改革项目，支持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村教育改革创新。（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县教育和体育局牵头，县文明办、团县委、县妇联、县文化和旅游局配合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10. 提升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村教育信息化水平。实施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村数字校园建设攻坚行动，在资源配置等方面予以倾斜，推动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村学校网络提速扩容，支持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驻地学校录播室建设，2025年全部实现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千兆进校、百兆进班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驻地学校录播室全覆盖。推进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互联网＋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教与学模式改革，加强以同步课堂应用模式为基础，促进专递课堂、名师课堂、名校网络课堂等模式在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村学校普遍推广应用。（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11. 加强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村特殊儿童关爱。保障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村残疾儿童受教育权益，依托设在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的小学和初中实现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特殊教育资源中心全覆盖。制定农村留守儿童关爱活动指南，实施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希望小屋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公益项目，促进留守儿童、困境儿童全面成长发展。坚持义务教育适龄儿童就学动态监测机制，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一人一案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跟进即时劝返措施，保持失学辍学问题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常态清零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。建立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困生成长档案，健全个性化帮扶机制，保障学生完成学业。认真贯彻落实各项资助政策，继续加强资助宣传，确保应知尽知。持续推进学生资助工作标准化建设，开展大数据核查、督导督查及年度绩效考评，强化资金监管，确保资金精准发放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村家庭经济困难学生资助全覆盖。（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县教育和体育局牵头，团县委、县残联、县民政局、县卫生健康局配合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三、工作保障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12. 加强组织领导。将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村教育振兴先行区建设作为打造乡村振兴重点任务，建立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级工作推进机制，编制确定重点项目清单，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委教育工作领导小组进行统筹协调，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和体育局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牵头、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有关部门分工负责，落实具体推进措施。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各镇（街道）人民政府（办事处）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要把推进乡村教育振兴纳入乡村振兴战略总体规划，制定专项工作方案，强化资金保障，务求工作实效。（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县教育和体育局牵头，县委农办、县发展和改革局配合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. 坚持试点先行。坚持全域推进、试点先行，分领域、分专项遴选一批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等，结合实际开展探索，打造本级乡村振兴教育试点，加大政策资金扶持力度，形成可推广、可复制的工作经验。（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县教育和体育局牵头，县委农办配合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14. 强化专业支撑。依托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教育科学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研究中心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建立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村教育发展研究平台，开展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村教育重点问题研究，通过教学常规视导活动等，对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村中小学和幼儿园质量发展、队伍建设、课程教研进行诊断、评价、指导。（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15. 强化督导评价。将乡村教育振兴纳入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镇（街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道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领导班子和领导干部推进乡村振兴战略实绩评价，作为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镇（街道）人民政府（办事处）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履行教育职责评价的重要内容。制定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村学校单独评价体系，树立科学的评价导向。（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县教育和体育局牵头，县委农办配合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tbl>
      <w:tblPr>
        <w:tblStyle w:val="4"/>
        <w:tblpPr w:leftFromText="180" w:rightFromText="180" w:vertAnchor="text" w:horzAnchor="page" w:tblpX="1645" w:tblpY="7876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740" w:type="dxa"/>
            <w:tcBorders>
              <w:left w:val="nil"/>
              <w:right w:val="nil"/>
            </w:tcBorders>
          </w:tcPr>
          <w:p>
            <w:pPr>
              <w:spacing w:line="560" w:lineRule="exact"/>
              <w:ind w:left="1050" w:leftChars="49" w:hanging="947" w:hangingChars="295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</w:rPr>
              <w:t>抄送：县委办公室，县人大常委会办公室，县政协办公室，县法院，县检察院，县人武部。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40" w:type="dxa"/>
            <w:tcBorders>
              <w:left w:val="nil"/>
              <w:right w:val="nil"/>
            </w:tcBorders>
          </w:tcPr>
          <w:p>
            <w:pPr>
              <w:spacing w:line="560" w:lineRule="exact"/>
              <w:ind w:firstLine="157" w:firstLineChars="49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 xml:space="preserve">嘉祥县人民政府办公室           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 xml:space="preserve"> 202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DBmOTU4ZmY1ZjYyMTliODI2NTY4YTY4ZDYyOGIifQ=="/>
  </w:docVars>
  <w:rsids>
    <w:rsidRoot w:val="5EF0008D"/>
    <w:rsid w:val="01BF374C"/>
    <w:rsid w:val="05AA6F5C"/>
    <w:rsid w:val="0ABE1CF3"/>
    <w:rsid w:val="0BDF312B"/>
    <w:rsid w:val="0DDC5370"/>
    <w:rsid w:val="0DE34129"/>
    <w:rsid w:val="0F94E48C"/>
    <w:rsid w:val="0FDDCA96"/>
    <w:rsid w:val="157D056D"/>
    <w:rsid w:val="170264F3"/>
    <w:rsid w:val="1A6E5487"/>
    <w:rsid w:val="1ADD4D4A"/>
    <w:rsid w:val="1C1B0886"/>
    <w:rsid w:val="1EE7EFA8"/>
    <w:rsid w:val="1EFC3122"/>
    <w:rsid w:val="1FF34953"/>
    <w:rsid w:val="1FFAA440"/>
    <w:rsid w:val="1FFD309B"/>
    <w:rsid w:val="21F70DD1"/>
    <w:rsid w:val="2573E2B1"/>
    <w:rsid w:val="2B9F633E"/>
    <w:rsid w:val="2BFA2B9A"/>
    <w:rsid w:val="2DBF4438"/>
    <w:rsid w:val="2F3EE1CA"/>
    <w:rsid w:val="34FB6B39"/>
    <w:rsid w:val="357F3143"/>
    <w:rsid w:val="37B12A5B"/>
    <w:rsid w:val="38BD1B07"/>
    <w:rsid w:val="3A73E7A2"/>
    <w:rsid w:val="3AFFDE67"/>
    <w:rsid w:val="3D75A7EE"/>
    <w:rsid w:val="3D7F98BE"/>
    <w:rsid w:val="3DB79083"/>
    <w:rsid w:val="3EFBFCD1"/>
    <w:rsid w:val="3EFFAE14"/>
    <w:rsid w:val="3FB30A11"/>
    <w:rsid w:val="3FEB097E"/>
    <w:rsid w:val="3FFAD69D"/>
    <w:rsid w:val="3FFFA531"/>
    <w:rsid w:val="42FD36B5"/>
    <w:rsid w:val="44E32D68"/>
    <w:rsid w:val="462F074C"/>
    <w:rsid w:val="4A7250B8"/>
    <w:rsid w:val="4D31441A"/>
    <w:rsid w:val="4D981F83"/>
    <w:rsid w:val="4DBBF353"/>
    <w:rsid w:val="4DEF2B03"/>
    <w:rsid w:val="4EEE1EDF"/>
    <w:rsid w:val="4FAFF9D7"/>
    <w:rsid w:val="516FEBBC"/>
    <w:rsid w:val="55FD3546"/>
    <w:rsid w:val="5773292C"/>
    <w:rsid w:val="57FF2CD0"/>
    <w:rsid w:val="59CF1242"/>
    <w:rsid w:val="5AFB4D5C"/>
    <w:rsid w:val="5CAC6B74"/>
    <w:rsid w:val="5D19702A"/>
    <w:rsid w:val="5E7AA798"/>
    <w:rsid w:val="5EF0008D"/>
    <w:rsid w:val="5F7D3F8A"/>
    <w:rsid w:val="5FAA8B94"/>
    <w:rsid w:val="5FBFDD4F"/>
    <w:rsid w:val="5FEDD241"/>
    <w:rsid w:val="5FFFA33A"/>
    <w:rsid w:val="621A6F17"/>
    <w:rsid w:val="66FFE3D2"/>
    <w:rsid w:val="67B3A5F2"/>
    <w:rsid w:val="67FF8FFE"/>
    <w:rsid w:val="69ADA855"/>
    <w:rsid w:val="69F60D9F"/>
    <w:rsid w:val="6BFE6DFC"/>
    <w:rsid w:val="6CCC59BA"/>
    <w:rsid w:val="6D41207E"/>
    <w:rsid w:val="6DAC1C7F"/>
    <w:rsid w:val="6E5BA72C"/>
    <w:rsid w:val="6FE5E73F"/>
    <w:rsid w:val="6FE6E2A0"/>
    <w:rsid w:val="6FFD7143"/>
    <w:rsid w:val="71D63552"/>
    <w:rsid w:val="727268AD"/>
    <w:rsid w:val="727F6CB0"/>
    <w:rsid w:val="72FFB7B2"/>
    <w:rsid w:val="753DA99A"/>
    <w:rsid w:val="75AFEBE3"/>
    <w:rsid w:val="75DF4E79"/>
    <w:rsid w:val="76645A46"/>
    <w:rsid w:val="76BF4019"/>
    <w:rsid w:val="76FF6593"/>
    <w:rsid w:val="772F8D5B"/>
    <w:rsid w:val="773B7EF9"/>
    <w:rsid w:val="773DF6FD"/>
    <w:rsid w:val="77BF01F5"/>
    <w:rsid w:val="77D16805"/>
    <w:rsid w:val="77DBC1C3"/>
    <w:rsid w:val="77DEDE18"/>
    <w:rsid w:val="797BBE34"/>
    <w:rsid w:val="79874314"/>
    <w:rsid w:val="79F973A1"/>
    <w:rsid w:val="7AFEA908"/>
    <w:rsid w:val="7BEFEE27"/>
    <w:rsid w:val="7BF7047E"/>
    <w:rsid w:val="7CBBA37B"/>
    <w:rsid w:val="7CD98A41"/>
    <w:rsid w:val="7CF7921F"/>
    <w:rsid w:val="7D6F756D"/>
    <w:rsid w:val="7DBE2936"/>
    <w:rsid w:val="7DEEBC8A"/>
    <w:rsid w:val="7E2D16A0"/>
    <w:rsid w:val="7EAF5E48"/>
    <w:rsid w:val="7EB81DD7"/>
    <w:rsid w:val="7EEB5CD4"/>
    <w:rsid w:val="7EF3F16A"/>
    <w:rsid w:val="7EF74AA5"/>
    <w:rsid w:val="7EF7EA27"/>
    <w:rsid w:val="7EFB54F5"/>
    <w:rsid w:val="7EFBA6C7"/>
    <w:rsid w:val="7EFF7DD4"/>
    <w:rsid w:val="7EFFFE06"/>
    <w:rsid w:val="7F5B720F"/>
    <w:rsid w:val="7F5D4C8F"/>
    <w:rsid w:val="7F735657"/>
    <w:rsid w:val="7F814D6F"/>
    <w:rsid w:val="7F9A6F54"/>
    <w:rsid w:val="7FBCCF3B"/>
    <w:rsid w:val="7FDF980D"/>
    <w:rsid w:val="7FF948F3"/>
    <w:rsid w:val="7FFA1393"/>
    <w:rsid w:val="7FFDCD84"/>
    <w:rsid w:val="7FFE278F"/>
    <w:rsid w:val="7FFECFCC"/>
    <w:rsid w:val="7FFF8600"/>
    <w:rsid w:val="7FFF8A23"/>
    <w:rsid w:val="95FD4555"/>
    <w:rsid w:val="97E601D5"/>
    <w:rsid w:val="9BFF4433"/>
    <w:rsid w:val="9EFF12EE"/>
    <w:rsid w:val="A7FE535D"/>
    <w:rsid w:val="ABDEE7B6"/>
    <w:rsid w:val="ACFFE23D"/>
    <w:rsid w:val="AEFE9120"/>
    <w:rsid w:val="B3CEF229"/>
    <w:rsid w:val="B77E52EC"/>
    <w:rsid w:val="BC595C51"/>
    <w:rsid w:val="BCC4EACB"/>
    <w:rsid w:val="BD165C21"/>
    <w:rsid w:val="BDBBDB33"/>
    <w:rsid w:val="BEBF02BA"/>
    <w:rsid w:val="BEFDEF9A"/>
    <w:rsid w:val="BF1F5D40"/>
    <w:rsid w:val="BF3FE131"/>
    <w:rsid w:val="BF4E0D72"/>
    <w:rsid w:val="BF77FCEE"/>
    <w:rsid w:val="BF7E2EA2"/>
    <w:rsid w:val="BF9D8BB5"/>
    <w:rsid w:val="BFD77FD1"/>
    <w:rsid w:val="BFE9A7DC"/>
    <w:rsid w:val="BFECBBB3"/>
    <w:rsid w:val="BFF716EE"/>
    <w:rsid w:val="BFFF60A5"/>
    <w:rsid w:val="BFFFDE4B"/>
    <w:rsid w:val="C67FF961"/>
    <w:rsid w:val="C7AF4528"/>
    <w:rsid w:val="C8F72FE8"/>
    <w:rsid w:val="CBED2268"/>
    <w:rsid w:val="CBEF7483"/>
    <w:rsid w:val="CD6B70DB"/>
    <w:rsid w:val="CFBF109E"/>
    <w:rsid w:val="D3CFD4BA"/>
    <w:rsid w:val="D7AEBC6D"/>
    <w:rsid w:val="D7E67C11"/>
    <w:rsid w:val="DB2B03AB"/>
    <w:rsid w:val="DC351B11"/>
    <w:rsid w:val="DCFE6892"/>
    <w:rsid w:val="DE3E3A0F"/>
    <w:rsid w:val="DECC38A8"/>
    <w:rsid w:val="DF4F6D71"/>
    <w:rsid w:val="DF867BF6"/>
    <w:rsid w:val="DFC58692"/>
    <w:rsid w:val="DFE32413"/>
    <w:rsid w:val="DFE48DEB"/>
    <w:rsid w:val="DFED194B"/>
    <w:rsid w:val="DFFDDCBA"/>
    <w:rsid w:val="E3AD50FE"/>
    <w:rsid w:val="E3ECACB9"/>
    <w:rsid w:val="E4BE0D7E"/>
    <w:rsid w:val="ECBF4EB5"/>
    <w:rsid w:val="EE6FEC30"/>
    <w:rsid w:val="EEB94B97"/>
    <w:rsid w:val="EEDF04B6"/>
    <w:rsid w:val="EEE607CB"/>
    <w:rsid w:val="EEEF855A"/>
    <w:rsid w:val="EF3DA581"/>
    <w:rsid w:val="EF6D7882"/>
    <w:rsid w:val="EFBAF254"/>
    <w:rsid w:val="EFD8C83E"/>
    <w:rsid w:val="F2EE404E"/>
    <w:rsid w:val="F37F5B6A"/>
    <w:rsid w:val="F3A5CB63"/>
    <w:rsid w:val="F3FB301A"/>
    <w:rsid w:val="F5543EC9"/>
    <w:rsid w:val="F5BEDB11"/>
    <w:rsid w:val="F6D7AD21"/>
    <w:rsid w:val="F7D73B7E"/>
    <w:rsid w:val="F7E8A9C2"/>
    <w:rsid w:val="F7ED85CA"/>
    <w:rsid w:val="F7F7945B"/>
    <w:rsid w:val="F7FB7D72"/>
    <w:rsid w:val="F7FF5949"/>
    <w:rsid w:val="F9355BFF"/>
    <w:rsid w:val="F9FF81E9"/>
    <w:rsid w:val="FA797CE4"/>
    <w:rsid w:val="FA7B9A12"/>
    <w:rsid w:val="FB9DDF63"/>
    <w:rsid w:val="FBBF2DD1"/>
    <w:rsid w:val="FBFA3AB4"/>
    <w:rsid w:val="FBFDCEEB"/>
    <w:rsid w:val="FBFF9057"/>
    <w:rsid w:val="FCFF3F0A"/>
    <w:rsid w:val="FDD9CE52"/>
    <w:rsid w:val="FDE95233"/>
    <w:rsid w:val="FDEFA77B"/>
    <w:rsid w:val="FDFDF4A5"/>
    <w:rsid w:val="FDFE0AEB"/>
    <w:rsid w:val="FDFE9F60"/>
    <w:rsid w:val="FE37681F"/>
    <w:rsid w:val="FE7E41B5"/>
    <w:rsid w:val="FEEF5ECB"/>
    <w:rsid w:val="FEF753DB"/>
    <w:rsid w:val="FEF7B3D1"/>
    <w:rsid w:val="FEFA3B41"/>
    <w:rsid w:val="FEFE9BF8"/>
    <w:rsid w:val="FEFF4531"/>
    <w:rsid w:val="FEFF7065"/>
    <w:rsid w:val="FF1118C1"/>
    <w:rsid w:val="FF4BC593"/>
    <w:rsid w:val="FF569A9B"/>
    <w:rsid w:val="FF674DA3"/>
    <w:rsid w:val="FF8B0458"/>
    <w:rsid w:val="FFBB721B"/>
    <w:rsid w:val="FFBE9B63"/>
    <w:rsid w:val="FFC3B64B"/>
    <w:rsid w:val="FFD7D840"/>
    <w:rsid w:val="FFF224C2"/>
    <w:rsid w:val="FFF7DFE5"/>
    <w:rsid w:val="FFFBFE48"/>
    <w:rsid w:val="FFFD3CC7"/>
    <w:rsid w:val="FFFD6DEA"/>
    <w:rsid w:val="FFFDCAFF"/>
    <w:rsid w:val="FFFE2150"/>
    <w:rsid w:val="FFFF07B5"/>
    <w:rsid w:val="FFF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4291</Words>
  <Characters>4372</Characters>
  <Lines>1</Lines>
  <Paragraphs>1</Paragraphs>
  <TotalTime>7</TotalTime>
  <ScaleCrop>false</ScaleCrop>
  <LinksUpToDate>false</LinksUpToDate>
  <CharactersWithSpaces>4404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2023-06-14T06:51:00Z</dcterms:created>
  <dc:creator>Administrator</dc:creator>
  <cp:lastModifiedBy>user</cp:lastModifiedBy>
  <dcterms:modified xsi:type="dcterms:W3CDTF">2023-07-10T09:07:27Z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38293E2E02054E6B9F0DE7D881C0985D_13</vt:lpwstr>
  </property>
</Properties>
</file>