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嘉祥县统计局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情况统计表</w:t>
      </w:r>
    </w:p>
    <w:tbl>
      <w:tblPr>
        <w:tblStyle w:val="3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5"/>
                <w:rFonts w:hint="eastAsia" w:ascii="方正黑体简体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160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160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402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  <w:t>0</w:t>
            </w:r>
          </w:p>
        </w:tc>
      </w:tr>
    </w:tbl>
    <w:p>
      <w:pPr>
        <w:spacing w:line="590" w:lineRule="exact"/>
        <w:ind w:right="-100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744A"/>
    <w:rsid w:val="1FF2744A"/>
    <w:rsid w:val="4461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2022-01-21T07:00:00Z</dcterms:created>
  <dc:creator>Administrator</dc:creator>
  <cp:lastModifiedBy>举栗子</cp:lastModifiedBy>
  <dcterms:modified xsi:type="dcterms:W3CDTF">2022-01-24T08:17:06Z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334994253DDC4E12B9A1246914D86BEC</vt:lpwstr>
  </property>
</Properties>
</file>