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4750" w:type="pct"/>
        <w:jc w:val="center"/>
        <w:shd w:val="clear" w:color="auto" w:fill="FFFFFF"/>
        <w:tblLayout w:type="autofit"/>
        <w:tblCellMar>
          <w:top w:w="0" w:type="dxa"/>
          <w:left w:w="0" w:type="dxa"/>
          <w:bottom w:w="0" w:type="dxa"/>
          <w:right w:w="0" w:type="dxa"/>
        </w:tblCellMar>
      </w:tblPr>
      <w:tblGrid>
        <w:gridCol w:w="7891"/>
      </w:tblGrid>
      <w:tr>
        <w:tblPrEx>
          <w:shd w:val="clear" w:color="auto" w:fill="FFFFFF"/>
        </w:tblPrEx>
        <w:trPr>
          <w:trHeight w:val="375" w:hRule="atLeast"/>
          <w:jc w:val="center"/>
        </w:trPr>
        <w:tc>
          <w:tcPr>
            <w:tcW w:w="0" w:type="auto"/>
            <w:tcBorders>
              <w:bottom w:val="single" w:color="C8CAF1" w:sz="6" w:space="0"/>
            </w:tcBorders>
            <w:shd w:val="clear" w:color="auto" w:fill="FFFFFF"/>
            <w:vAlign w:val="center"/>
          </w:tcPr>
          <w:p>
            <w:pPr>
              <w:keepNext w:val="0"/>
              <w:keepLines w:val="0"/>
              <w:widowControl/>
              <w:suppressLineNumbers w:val="0"/>
              <w:spacing w:line="518" w:lineRule="atLeast"/>
              <w:ind w:left="0" w:firstLine="0"/>
              <w:jc w:val="center"/>
              <w:rPr>
                <w:rFonts w:ascii="微软雅黑" w:hAnsi="微软雅黑" w:eastAsia="微软雅黑" w:cs="微软雅黑"/>
                <w:b/>
                <w:bCs/>
                <w:i w:val="0"/>
                <w:iCs w:val="0"/>
                <w:caps w:val="0"/>
                <w:color w:val="3D3D3D"/>
                <w:spacing w:val="0"/>
                <w:sz w:val="34"/>
                <w:szCs w:val="34"/>
              </w:rPr>
            </w:pPr>
            <w:r>
              <w:rPr>
                <w:rFonts w:hint="eastAsia" w:ascii="微软雅黑" w:hAnsi="微软雅黑" w:eastAsia="微软雅黑" w:cs="微软雅黑"/>
                <w:b/>
                <w:bCs/>
                <w:i w:val="0"/>
                <w:iCs w:val="0"/>
                <w:caps w:val="0"/>
                <w:color w:val="3D3D3D"/>
                <w:spacing w:val="0"/>
                <w:kern w:val="0"/>
                <w:sz w:val="34"/>
                <w:szCs w:val="34"/>
                <w:lang w:val="en-US" w:eastAsia="zh-CN" w:bidi="ar"/>
              </w:rPr>
              <w:t>嘉祥县统计局随机抽查</w:t>
            </w:r>
            <w:bookmarkStart w:id="0" w:name="_GoBack"/>
            <w:bookmarkEnd w:id="0"/>
            <w:r>
              <w:rPr>
                <w:rFonts w:hint="eastAsia" w:ascii="微软雅黑" w:hAnsi="微软雅黑" w:eastAsia="微软雅黑" w:cs="微软雅黑"/>
                <w:b/>
                <w:bCs/>
                <w:i w:val="0"/>
                <w:iCs w:val="0"/>
                <w:caps w:val="0"/>
                <w:color w:val="3D3D3D"/>
                <w:spacing w:val="0"/>
                <w:kern w:val="0"/>
                <w:sz w:val="34"/>
                <w:szCs w:val="34"/>
                <w:lang w:val="en-US" w:eastAsia="zh-CN" w:bidi="ar"/>
              </w:rPr>
              <w:t>事项清单</w:t>
            </w:r>
          </w:p>
        </w:tc>
      </w:tr>
    </w:tbl>
    <w:p>
      <w:pPr>
        <w:rPr>
          <w:vanish/>
          <w:sz w:val="24"/>
          <w:szCs w:val="24"/>
        </w:rPr>
      </w:pPr>
    </w:p>
    <w:p>
      <w:pPr>
        <w:rPr>
          <w:vanish/>
          <w:sz w:val="24"/>
          <w:szCs w:val="24"/>
        </w:rPr>
      </w:pPr>
    </w:p>
    <w:tbl>
      <w:tblPr>
        <w:tblStyle w:val="2"/>
        <w:tblW w:w="12750" w:type="dxa"/>
        <w:jc w:val="center"/>
        <w:shd w:val="clear" w:color="auto" w:fill="FFFFFF"/>
        <w:tblLayout w:type="autofit"/>
        <w:tblCellMar>
          <w:top w:w="0" w:type="dxa"/>
          <w:left w:w="0" w:type="dxa"/>
          <w:bottom w:w="0" w:type="dxa"/>
          <w:right w:w="0" w:type="dxa"/>
        </w:tblCellMar>
      </w:tblPr>
      <w:tblGrid>
        <w:gridCol w:w="12750"/>
      </w:tblGrid>
      <w:tr>
        <w:trPr>
          <w:trHeight w:val="3301" w:hRule="atLeast"/>
          <w:jc w:val="center"/>
        </w:trPr>
        <w:tc>
          <w:tcPr>
            <w:tcW w:w="0" w:type="auto"/>
            <w:shd w:val="clear" w:color="auto" w:fill="FFFFFF"/>
            <w:tcMar>
              <w:top w:w="300" w:type="dxa"/>
              <w:left w:w="450" w:type="dxa"/>
              <w:bottom w:w="300" w:type="dxa"/>
              <w:right w:w="450" w:type="dxa"/>
            </w:tcMar>
            <w:vAlign w:val="top"/>
          </w:tcPr>
          <w:tbl>
            <w:tblPr>
              <w:tblStyle w:val="2"/>
              <w:tblW w:w="10694" w:type="dxa"/>
              <w:jc w:val="center"/>
              <w:shd w:val="clear" w:color="auto" w:fill="auto"/>
              <w:tblLayout w:type="autofit"/>
              <w:tblCellMar>
                <w:top w:w="15" w:type="dxa"/>
                <w:left w:w="15" w:type="dxa"/>
                <w:bottom w:w="15" w:type="dxa"/>
                <w:right w:w="15" w:type="dxa"/>
              </w:tblCellMar>
            </w:tblPr>
            <w:tblGrid>
              <w:gridCol w:w="419"/>
              <w:gridCol w:w="461"/>
              <w:gridCol w:w="2814"/>
              <w:gridCol w:w="419"/>
              <w:gridCol w:w="1867"/>
              <w:gridCol w:w="551"/>
              <w:gridCol w:w="606"/>
              <w:gridCol w:w="551"/>
              <w:gridCol w:w="1657"/>
              <w:gridCol w:w="764"/>
              <w:gridCol w:w="585"/>
            </w:tblGrid>
            <w:tr>
              <w:tblPrEx>
                <w:shd w:val="clear" w:color="auto" w:fill="auto"/>
                <w:tblCellMar>
                  <w:top w:w="15" w:type="dxa"/>
                  <w:left w:w="15" w:type="dxa"/>
                  <w:bottom w:w="15" w:type="dxa"/>
                  <w:right w:w="15" w:type="dxa"/>
                </w:tblCellMar>
              </w:tblPrEx>
              <w:trPr>
                <w:trHeight w:val="2522" w:hRule="atLeast"/>
                <w:jc w:val="center"/>
              </w:trPr>
              <w:tc>
                <w:tcPr>
                  <w:tcW w:w="41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Style w:val="4"/>
                      <w:rFonts w:hint="eastAsia" w:ascii="宋体" w:hAnsi="宋体" w:eastAsia="宋体" w:cs="宋体"/>
                      <w:b/>
                      <w:bCs/>
                      <w:color w:val="676767"/>
                      <w:kern w:val="0"/>
                      <w:sz w:val="24"/>
                      <w:szCs w:val="24"/>
                      <w:lang w:val="en-US" w:eastAsia="zh-CN" w:bidi="ar"/>
                    </w:rPr>
                    <w:t>序号</w:t>
                  </w:r>
                </w:p>
              </w:tc>
              <w:tc>
                <w:tcPr>
                  <w:tcW w:w="46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Style w:val="4"/>
                      <w:rFonts w:hint="eastAsia" w:ascii="宋体" w:hAnsi="宋体" w:eastAsia="宋体" w:cs="宋体"/>
                      <w:b/>
                      <w:bCs/>
                      <w:color w:val="676767"/>
                      <w:kern w:val="0"/>
                      <w:sz w:val="24"/>
                      <w:szCs w:val="24"/>
                      <w:lang w:val="en-US" w:eastAsia="zh-CN" w:bidi="ar"/>
                    </w:rPr>
                    <w:t>抽查事项名称</w:t>
                  </w:r>
                </w:p>
              </w:tc>
              <w:tc>
                <w:tcPr>
                  <w:tcW w:w="2814"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Style w:val="4"/>
                      <w:rFonts w:hint="eastAsia" w:ascii="宋体" w:hAnsi="宋体" w:eastAsia="宋体" w:cs="宋体"/>
                      <w:b/>
                      <w:bCs/>
                      <w:color w:val="676767"/>
                      <w:kern w:val="0"/>
                      <w:sz w:val="24"/>
                      <w:szCs w:val="24"/>
                      <w:lang w:val="en-US" w:eastAsia="zh-CN" w:bidi="ar"/>
                    </w:rPr>
                    <w:t>抽查依据</w:t>
                  </w:r>
                </w:p>
              </w:tc>
              <w:tc>
                <w:tcPr>
                  <w:tcW w:w="41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Style w:val="4"/>
                      <w:rFonts w:hint="eastAsia" w:ascii="宋体" w:hAnsi="宋体" w:eastAsia="宋体" w:cs="宋体"/>
                      <w:b/>
                      <w:bCs/>
                      <w:color w:val="676767"/>
                      <w:kern w:val="0"/>
                      <w:sz w:val="24"/>
                      <w:szCs w:val="24"/>
                      <w:lang w:val="en-US" w:eastAsia="zh-CN" w:bidi="ar"/>
                    </w:rPr>
                    <w:t>抽查主体</w:t>
                  </w:r>
                </w:p>
              </w:tc>
              <w:tc>
                <w:tcPr>
                  <w:tcW w:w="186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Style w:val="4"/>
                      <w:rFonts w:hint="eastAsia" w:ascii="宋体" w:hAnsi="宋体" w:eastAsia="宋体" w:cs="宋体"/>
                      <w:b/>
                      <w:bCs/>
                      <w:color w:val="676767"/>
                      <w:kern w:val="0"/>
                      <w:sz w:val="24"/>
                      <w:szCs w:val="24"/>
                      <w:lang w:val="en-US" w:eastAsia="zh-CN" w:bidi="ar"/>
                    </w:rPr>
                    <w:t>抽查对象</w:t>
                  </w:r>
                </w:p>
              </w:tc>
              <w:tc>
                <w:tcPr>
                  <w:tcW w:w="55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Style w:val="4"/>
                      <w:rFonts w:hint="eastAsia" w:ascii="宋体" w:hAnsi="宋体" w:eastAsia="宋体" w:cs="宋体"/>
                      <w:b/>
                      <w:bCs/>
                      <w:color w:val="676767"/>
                      <w:kern w:val="0"/>
                      <w:sz w:val="24"/>
                      <w:szCs w:val="24"/>
                      <w:lang w:val="en-US" w:eastAsia="zh-CN" w:bidi="ar"/>
                    </w:rPr>
                    <w:t>抽查比例</w:t>
                  </w:r>
                </w:p>
              </w:tc>
              <w:tc>
                <w:tcPr>
                  <w:tcW w:w="606"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Style w:val="4"/>
                      <w:rFonts w:hint="eastAsia" w:ascii="宋体" w:hAnsi="宋体" w:eastAsia="宋体" w:cs="宋体"/>
                      <w:b/>
                      <w:bCs/>
                      <w:color w:val="676767"/>
                      <w:kern w:val="0"/>
                      <w:sz w:val="24"/>
                      <w:szCs w:val="24"/>
                      <w:lang w:val="en-US" w:eastAsia="zh-CN" w:bidi="ar"/>
                    </w:rPr>
                    <w:t>抽查频次</w:t>
                  </w:r>
                </w:p>
              </w:tc>
              <w:tc>
                <w:tcPr>
                  <w:tcW w:w="55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Style w:val="4"/>
                      <w:rFonts w:hint="eastAsia" w:ascii="宋体" w:hAnsi="宋体" w:eastAsia="宋体" w:cs="宋体"/>
                      <w:b/>
                      <w:bCs/>
                      <w:color w:val="676767"/>
                      <w:kern w:val="0"/>
                      <w:sz w:val="24"/>
                      <w:szCs w:val="24"/>
                      <w:lang w:val="en-US" w:eastAsia="zh-CN" w:bidi="ar"/>
                    </w:rPr>
                    <w:t>抽查方式</w:t>
                  </w:r>
                </w:p>
              </w:tc>
              <w:tc>
                <w:tcPr>
                  <w:tcW w:w="165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Style w:val="4"/>
                      <w:rFonts w:hint="eastAsia" w:ascii="宋体" w:hAnsi="宋体" w:eastAsia="宋体" w:cs="宋体"/>
                      <w:b/>
                      <w:bCs/>
                      <w:color w:val="676767"/>
                      <w:kern w:val="0"/>
                      <w:sz w:val="24"/>
                      <w:szCs w:val="24"/>
                      <w:lang w:val="en-US" w:eastAsia="zh-CN" w:bidi="ar"/>
                    </w:rPr>
                    <w:t>抽查内容</w:t>
                  </w:r>
                </w:p>
              </w:tc>
              <w:tc>
                <w:tcPr>
                  <w:tcW w:w="764"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Style w:val="4"/>
                      <w:rFonts w:hint="eastAsia" w:ascii="宋体" w:hAnsi="宋体" w:eastAsia="宋体" w:cs="宋体"/>
                      <w:b/>
                      <w:bCs/>
                      <w:color w:val="676767"/>
                      <w:kern w:val="0"/>
                      <w:sz w:val="24"/>
                      <w:szCs w:val="24"/>
                      <w:lang w:val="en-US" w:eastAsia="zh-CN" w:bidi="ar"/>
                    </w:rPr>
                    <w:t>是否采用“双随机一公开”方式开展了随机抽查</w:t>
                  </w:r>
                </w:p>
              </w:tc>
              <w:tc>
                <w:tcPr>
                  <w:tcW w:w="58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Style w:val="4"/>
                      <w:rFonts w:hint="eastAsia" w:ascii="宋体" w:hAnsi="宋体" w:eastAsia="宋体" w:cs="宋体"/>
                      <w:b/>
                      <w:bCs/>
                      <w:color w:val="676767"/>
                      <w:kern w:val="0"/>
                      <w:sz w:val="24"/>
                      <w:szCs w:val="24"/>
                      <w:lang w:val="en-US" w:eastAsia="zh-CN" w:bidi="ar"/>
                    </w:rPr>
                    <w:t>备注</w:t>
                  </w:r>
                </w:p>
              </w:tc>
            </w:tr>
            <w:tr>
              <w:tblPrEx>
                <w:shd w:val="clear" w:color="auto" w:fill="auto"/>
                <w:tblCellMar>
                  <w:top w:w="15" w:type="dxa"/>
                  <w:left w:w="15" w:type="dxa"/>
                  <w:bottom w:w="15" w:type="dxa"/>
                  <w:right w:w="15" w:type="dxa"/>
                </w:tblCellMar>
              </w:tblPrEx>
              <w:trPr>
                <w:trHeight w:val="6598" w:hRule="atLeast"/>
                <w:jc w:val="center"/>
              </w:trPr>
              <w:tc>
                <w:tcPr>
                  <w:tcW w:w="41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676767"/>
                      <w:kern w:val="0"/>
                      <w:sz w:val="24"/>
                      <w:szCs w:val="24"/>
                      <w:lang w:val="en-US" w:eastAsia="zh-CN" w:bidi="ar"/>
                    </w:rPr>
                  </w:pPr>
                  <w:r>
                    <w:rPr>
                      <w:rFonts w:hint="eastAsia" w:ascii="宋体" w:hAnsi="宋体" w:eastAsia="宋体" w:cs="宋体"/>
                      <w:color w:val="676767"/>
                      <w:kern w:val="0"/>
                      <w:sz w:val="24"/>
                      <w:szCs w:val="24"/>
                      <w:lang w:val="en-US" w:eastAsia="zh-CN" w:bidi="ar"/>
                    </w:rPr>
                    <w:t>1</w:t>
                  </w:r>
                </w:p>
              </w:tc>
              <w:tc>
                <w:tcPr>
                  <w:tcW w:w="46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676767"/>
                      <w:kern w:val="0"/>
                      <w:sz w:val="24"/>
                      <w:szCs w:val="24"/>
                      <w:lang w:val="en-US" w:eastAsia="zh-CN" w:bidi="ar"/>
                    </w:rPr>
                  </w:pPr>
                  <w:r>
                    <w:rPr>
                      <w:rFonts w:hint="eastAsia" w:ascii="宋体" w:hAnsi="宋体" w:eastAsia="宋体" w:cs="宋体"/>
                      <w:color w:val="676767"/>
                      <w:kern w:val="0"/>
                      <w:sz w:val="24"/>
                      <w:szCs w:val="24"/>
                      <w:lang w:val="en-US" w:eastAsia="zh-CN" w:bidi="ar"/>
                    </w:rPr>
                    <w:t>统计执法巡查</w:t>
                  </w:r>
                </w:p>
              </w:tc>
              <w:tc>
                <w:tcPr>
                  <w:tcW w:w="2814"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676767"/>
                      <w:kern w:val="0"/>
                      <w:sz w:val="24"/>
                      <w:szCs w:val="24"/>
                      <w:lang w:val="en-US" w:eastAsia="zh-CN" w:bidi="ar"/>
                    </w:rPr>
                  </w:pPr>
                  <w:r>
                    <w:rPr>
                      <w:rFonts w:hint="eastAsia" w:ascii="宋体" w:hAnsi="宋体" w:eastAsia="宋体" w:cs="宋体"/>
                      <w:color w:val="676767"/>
                      <w:kern w:val="0"/>
                      <w:sz w:val="24"/>
                      <w:szCs w:val="24"/>
                      <w:lang w:val="en-US" w:eastAsia="zh-CN" w:bidi="ar"/>
                    </w:rPr>
                    <w:t>《中华人民共和国统计法》第三十二条 县级以上人民政府及其监察机关对下级人民政府、本级人民政府统计机构和有关部门执行本法的情况，实施监督。</w:t>
                  </w:r>
                  <w:r>
                    <w:rPr>
                      <w:rFonts w:hint="eastAsia" w:ascii="宋体" w:hAnsi="宋体" w:eastAsia="宋体" w:cs="宋体"/>
                      <w:color w:val="676767"/>
                      <w:kern w:val="0"/>
                      <w:sz w:val="24"/>
                      <w:szCs w:val="24"/>
                      <w:lang w:val="en-US" w:eastAsia="zh-CN" w:bidi="ar"/>
                    </w:rPr>
                    <w:br w:type="textWrapping"/>
                  </w:r>
                  <w:r>
                    <w:rPr>
                      <w:rFonts w:hint="eastAsia" w:ascii="宋体" w:hAnsi="宋体" w:eastAsia="宋体" w:cs="宋体"/>
                      <w:color w:val="676767"/>
                      <w:kern w:val="0"/>
                      <w:sz w:val="24"/>
                      <w:szCs w:val="24"/>
                      <w:lang w:val="en-US" w:eastAsia="zh-CN" w:bidi="ar"/>
                    </w:rPr>
                    <w:t>第三十三条 国家统计局组织管理全国统计工作的监督检查，查处重大统计违法行为。县级以上地方人民政府统计机构依法查处本行政区域内发生的统计违法行为。</w:t>
                  </w:r>
                </w:p>
              </w:tc>
              <w:tc>
                <w:tcPr>
                  <w:tcW w:w="41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676767"/>
                      <w:kern w:val="0"/>
                      <w:sz w:val="24"/>
                      <w:szCs w:val="24"/>
                      <w:lang w:val="en-US" w:eastAsia="zh-CN" w:bidi="ar"/>
                    </w:rPr>
                  </w:pPr>
                  <w:r>
                    <w:rPr>
                      <w:rFonts w:hint="eastAsia" w:ascii="宋体" w:hAnsi="宋体" w:eastAsia="宋体" w:cs="宋体"/>
                      <w:color w:val="676767"/>
                      <w:kern w:val="0"/>
                      <w:sz w:val="24"/>
                      <w:szCs w:val="24"/>
                      <w:lang w:val="en-US" w:eastAsia="zh-CN" w:bidi="ar"/>
                    </w:rPr>
                    <w:t>县统计局</w:t>
                  </w:r>
                </w:p>
              </w:tc>
              <w:tc>
                <w:tcPr>
                  <w:tcW w:w="186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676767"/>
                      <w:kern w:val="0"/>
                      <w:sz w:val="24"/>
                      <w:szCs w:val="24"/>
                      <w:lang w:val="en-US" w:eastAsia="zh-CN" w:bidi="ar"/>
                    </w:rPr>
                  </w:pPr>
                  <w:r>
                    <w:rPr>
                      <w:rFonts w:hint="eastAsia" w:ascii="宋体" w:hAnsi="宋体" w:eastAsia="宋体" w:cs="宋体"/>
                      <w:color w:val="676767"/>
                      <w:kern w:val="0"/>
                      <w:sz w:val="24"/>
                      <w:szCs w:val="24"/>
                      <w:lang w:val="en-US" w:eastAsia="zh-CN" w:bidi="ar"/>
                    </w:rPr>
                    <w:t>全县范围内所有规模以上工业、有资质的建筑业、限额以上批发和零售业、限额以上住宿和餐饮业、全部房地产开发经营业、规模以上服务业法人单位，以及有承担政府统计调查任务的其它统计调查对象。</w:t>
                  </w:r>
                </w:p>
              </w:tc>
              <w:tc>
                <w:tcPr>
                  <w:tcW w:w="55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676767"/>
                      <w:kern w:val="0"/>
                      <w:sz w:val="24"/>
                      <w:szCs w:val="24"/>
                      <w:lang w:val="en-US" w:eastAsia="zh-CN" w:bidi="ar"/>
                    </w:rPr>
                  </w:pPr>
                  <w:r>
                    <w:rPr>
                      <w:rFonts w:hint="eastAsia" w:ascii="宋体" w:hAnsi="宋体" w:eastAsia="宋体" w:cs="宋体"/>
                      <w:color w:val="676767"/>
                      <w:kern w:val="0"/>
                      <w:sz w:val="24"/>
                      <w:szCs w:val="24"/>
                      <w:lang w:val="en-US" w:eastAsia="zh-CN" w:bidi="ar"/>
                    </w:rPr>
                    <w:t>10%以下</w:t>
                  </w:r>
                </w:p>
              </w:tc>
              <w:tc>
                <w:tcPr>
                  <w:tcW w:w="606"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676767"/>
                      <w:kern w:val="0"/>
                      <w:sz w:val="24"/>
                      <w:szCs w:val="24"/>
                      <w:lang w:val="en-US" w:eastAsia="zh-CN" w:bidi="ar"/>
                    </w:rPr>
                  </w:pPr>
                  <w:r>
                    <w:rPr>
                      <w:rFonts w:hint="eastAsia" w:ascii="宋体" w:hAnsi="宋体" w:eastAsia="宋体" w:cs="宋体"/>
                      <w:color w:val="676767"/>
                      <w:kern w:val="0"/>
                      <w:sz w:val="24"/>
                      <w:szCs w:val="24"/>
                      <w:lang w:val="en-US" w:eastAsia="zh-CN" w:bidi="ar"/>
                    </w:rPr>
                    <w:t>1次/年</w:t>
                  </w:r>
                </w:p>
              </w:tc>
              <w:tc>
                <w:tcPr>
                  <w:tcW w:w="55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676767"/>
                      <w:kern w:val="0"/>
                      <w:sz w:val="24"/>
                      <w:szCs w:val="24"/>
                      <w:lang w:val="en-US" w:eastAsia="zh-CN" w:bidi="ar"/>
                    </w:rPr>
                  </w:pPr>
                  <w:r>
                    <w:rPr>
                      <w:rFonts w:hint="eastAsia" w:ascii="宋体" w:hAnsi="宋体" w:eastAsia="宋体" w:cs="宋体"/>
                      <w:color w:val="676767"/>
                      <w:kern w:val="0"/>
                      <w:sz w:val="24"/>
                      <w:szCs w:val="24"/>
                      <w:lang w:val="en-US" w:eastAsia="zh-CN" w:bidi="ar"/>
                    </w:rPr>
                    <w:t>随机</w:t>
                  </w:r>
                </w:p>
              </w:tc>
              <w:tc>
                <w:tcPr>
                  <w:tcW w:w="165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676767"/>
                      <w:kern w:val="0"/>
                      <w:sz w:val="24"/>
                      <w:szCs w:val="24"/>
                      <w:lang w:val="en-US" w:eastAsia="zh-CN" w:bidi="ar"/>
                    </w:rPr>
                  </w:pPr>
                  <w:r>
                    <w:rPr>
                      <w:rFonts w:hint="eastAsia" w:ascii="宋体" w:hAnsi="宋体" w:eastAsia="宋体" w:cs="宋体"/>
                      <w:color w:val="676767"/>
                      <w:kern w:val="0"/>
                      <w:sz w:val="24"/>
                      <w:szCs w:val="24"/>
                      <w:lang w:val="en-US" w:eastAsia="zh-CN" w:bidi="ar"/>
                    </w:rPr>
                    <w:t>1、依法提供统计资料情况；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676767"/>
                      <w:kern w:val="0"/>
                      <w:sz w:val="24"/>
                      <w:szCs w:val="24"/>
                      <w:lang w:val="en-US" w:eastAsia="zh-CN" w:bidi="ar"/>
                    </w:rPr>
                  </w:pPr>
                  <w:r>
                    <w:rPr>
                      <w:rFonts w:hint="eastAsia" w:ascii="宋体" w:hAnsi="宋体" w:eastAsia="宋体" w:cs="宋体"/>
                      <w:color w:val="676767"/>
                      <w:kern w:val="0"/>
                      <w:sz w:val="24"/>
                      <w:szCs w:val="24"/>
                      <w:lang w:val="en-US" w:eastAsia="zh-CN" w:bidi="ar"/>
                    </w:rPr>
                    <w:t>2、依法建立原始记录、统计台账和统计资料管理制度情况；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676767"/>
                      <w:kern w:val="0"/>
                      <w:sz w:val="24"/>
                      <w:szCs w:val="24"/>
                      <w:lang w:val="en-US" w:eastAsia="zh-CN" w:bidi="ar"/>
                    </w:rPr>
                  </w:pPr>
                  <w:r>
                    <w:rPr>
                      <w:rFonts w:hint="eastAsia" w:ascii="宋体" w:hAnsi="宋体" w:eastAsia="宋体" w:cs="宋体"/>
                      <w:color w:val="676767"/>
                      <w:kern w:val="0"/>
                      <w:sz w:val="24"/>
                      <w:szCs w:val="24"/>
                      <w:lang w:val="en-US" w:eastAsia="zh-CN" w:bidi="ar"/>
                    </w:rPr>
                    <w:t>3、依法为履行法定填报职责提供保障情况；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676767"/>
                      <w:kern w:val="0"/>
                      <w:sz w:val="24"/>
                      <w:szCs w:val="24"/>
                      <w:lang w:val="en-US" w:eastAsia="zh-CN" w:bidi="ar"/>
                    </w:rPr>
                  </w:pPr>
                  <w:r>
                    <w:rPr>
                      <w:rFonts w:hint="eastAsia" w:ascii="宋体" w:hAnsi="宋体" w:eastAsia="宋体" w:cs="宋体"/>
                      <w:color w:val="676767"/>
                      <w:kern w:val="0"/>
                      <w:sz w:val="24"/>
                      <w:szCs w:val="24"/>
                      <w:lang w:val="en-US" w:eastAsia="zh-CN" w:bidi="ar"/>
                    </w:rPr>
                    <w:t>4、依法配合统计调查和统计监督情况。</w:t>
                  </w:r>
                </w:p>
              </w:tc>
              <w:tc>
                <w:tcPr>
                  <w:tcW w:w="764"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color w:val="676767"/>
                      <w:kern w:val="0"/>
                      <w:sz w:val="24"/>
                      <w:szCs w:val="24"/>
                      <w:lang w:val="en-US" w:eastAsia="zh-CN" w:bidi="ar"/>
                    </w:rPr>
                    <w:t>是</w:t>
                  </w:r>
                </w:p>
              </w:tc>
              <w:tc>
                <w:tcPr>
                  <w:tcW w:w="58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center"/>
                    <w:rPr>
                      <w:rFonts w:hint="eastAsia" w:ascii="微软雅黑" w:hAnsi="微软雅黑" w:eastAsia="微软雅黑" w:cs="微软雅黑"/>
                      <w:color w:val="676767"/>
                      <w:sz w:val="19"/>
                      <w:szCs w:val="19"/>
                    </w:rPr>
                  </w:pPr>
                </w:p>
              </w:tc>
            </w:tr>
            <w:tr>
              <w:tblPrEx>
                <w:tblCellMar>
                  <w:top w:w="15" w:type="dxa"/>
                  <w:left w:w="15" w:type="dxa"/>
                  <w:bottom w:w="15" w:type="dxa"/>
                  <w:right w:w="15" w:type="dxa"/>
                </w:tblCellMar>
              </w:tblPrEx>
              <w:trPr>
                <w:trHeight w:val="3478" w:hRule="atLeast"/>
                <w:jc w:val="center"/>
              </w:trPr>
              <w:tc>
                <w:tcPr>
                  <w:tcW w:w="41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676767"/>
                      <w:kern w:val="0"/>
                      <w:sz w:val="24"/>
                      <w:szCs w:val="24"/>
                      <w:lang w:val="en-US" w:eastAsia="zh-CN" w:bidi="ar"/>
                    </w:rPr>
                  </w:pPr>
                  <w:r>
                    <w:rPr>
                      <w:rFonts w:hint="eastAsia" w:ascii="宋体" w:hAnsi="宋体" w:eastAsia="宋体" w:cs="宋体"/>
                      <w:color w:val="676767"/>
                      <w:kern w:val="0"/>
                      <w:sz w:val="24"/>
                      <w:szCs w:val="24"/>
                      <w:lang w:val="en-US" w:eastAsia="zh-CN" w:bidi="ar"/>
                    </w:rPr>
                    <w:t>2</w:t>
                  </w:r>
                </w:p>
              </w:tc>
              <w:tc>
                <w:tcPr>
                  <w:tcW w:w="46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676767"/>
                      <w:kern w:val="0"/>
                      <w:sz w:val="24"/>
                      <w:szCs w:val="24"/>
                      <w:lang w:val="en-US" w:eastAsia="zh-CN" w:bidi="ar"/>
                    </w:rPr>
                  </w:pPr>
                  <w:r>
                    <w:rPr>
                      <w:rFonts w:hint="eastAsia" w:ascii="宋体" w:hAnsi="宋体" w:eastAsia="宋体" w:cs="宋体"/>
                      <w:color w:val="676767"/>
                      <w:kern w:val="0"/>
                      <w:sz w:val="24"/>
                      <w:szCs w:val="24"/>
                      <w:lang w:val="en-US" w:eastAsia="zh-CN" w:bidi="ar"/>
                    </w:rPr>
                    <w:t>统计数据质量重点检查</w:t>
                  </w:r>
                </w:p>
              </w:tc>
              <w:tc>
                <w:tcPr>
                  <w:tcW w:w="2814"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676767"/>
                      <w:kern w:val="0"/>
                      <w:sz w:val="24"/>
                      <w:szCs w:val="24"/>
                      <w:lang w:val="en-US" w:eastAsia="zh-CN" w:bidi="ar"/>
                    </w:rPr>
                  </w:pPr>
                  <w:r>
                    <w:rPr>
                      <w:rFonts w:hint="eastAsia" w:ascii="宋体" w:hAnsi="宋体" w:eastAsia="宋体" w:cs="宋体"/>
                      <w:color w:val="676767"/>
                      <w:kern w:val="0"/>
                      <w:sz w:val="24"/>
                      <w:szCs w:val="24"/>
                      <w:lang w:val="en-US" w:eastAsia="zh-CN" w:bidi="ar"/>
                    </w:rPr>
                    <w:t>《中华人民共和国统计法》第三十二条 县级以上人民政府及其监察机关对下级人民政府、本级人民政府统计机构和有关部门执行本法的情况，实施监督。</w:t>
                  </w:r>
                  <w:r>
                    <w:rPr>
                      <w:rFonts w:hint="eastAsia" w:ascii="宋体" w:hAnsi="宋体" w:eastAsia="宋体" w:cs="宋体"/>
                      <w:color w:val="676767"/>
                      <w:kern w:val="0"/>
                      <w:sz w:val="24"/>
                      <w:szCs w:val="24"/>
                      <w:lang w:val="en-US" w:eastAsia="zh-CN" w:bidi="ar"/>
                    </w:rPr>
                    <w:br w:type="textWrapping"/>
                  </w:r>
                  <w:r>
                    <w:rPr>
                      <w:rFonts w:hint="eastAsia" w:ascii="宋体" w:hAnsi="宋体" w:eastAsia="宋体" w:cs="宋体"/>
                      <w:color w:val="676767"/>
                      <w:kern w:val="0"/>
                      <w:sz w:val="24"/>
                      <w:szCs w:val="24"/>
                      <w:lang w:val="en-US" w:eastAsia="zh-CN" w:bidi="ar"/>
                    </w:rPr>
                    <w:t>第三十三条 国家统计局组织管理全国统计工作的监督检查，查处重大统计违法行为。</w:t>
                  </w:r>
                  <w:r>
                    <w:rPr>
                      <w:rFonts w:hint="eastAsia" w:ascii="宋体" w:hAnsi="宋体" w:eastAsia="宋体" w:cs="宋体"/>
                      <w:color w:val="676767"/>
                      <w:kern w:val="0"/>
                      <w:sz w:val="24"/>
                      <w:szCs w:val="24"/>
                      <w:lang w:val="en-US" w:eastAsia="zh-CN" w:bidi="ar"/>
                    </w:rPr>
                    <w:br w:type="textWrapping"/>
                  </w:r>
                  <w:r>
                    <w:rPr>
                      <w:rFonts w:hint="eastAsia" w:ascii="宋体" w:hAnsi="宋体" w:eastAsia="宋体" w:cs="宋体"/>
                      <w:color w:val="676767"/>
                      <w:kern w:val="0"/>
                      <w:sz w:val="24"/>
                      <w:szCs w:val="24"/>
                      <w:lang w:val="en-US" w:eastAsia="zh-CN" w:bidi="ar"/>
                    </w:rPr>
                    <w:t>县级以上地方人民政府统计机构依法查处本行政区域内发生的统计违法行为。</w:t>
                  </w:r>
                </w:p>
              </w:tc>
              <w:tc>
                <w:tcPr>
                  <w:tcW w:w="41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676767"/>
                      <w:kern w:val="0"/>
                      <w:sz w:val="24"/>
                      <w:szCs w:val="24"/>
                      <w:lang w:val="en-US" w:eastAsia="zh-CN" w:bidi="ar"/>
                    </w:rPr>
                  </w:pPr>
                  <w:r>
                    <w:rPr>
                      <w:rFonts w:hint="eastAsia" w:ascii="宋体" w:hAnsi="宋体" w:eastAsia="宋体" w:cs="宋体"/>
                      <w:color w:val="676767"/>
                      <w:kern w:val="0"/>
                      <w:sz w:val="24"/>
                      <w:szCs w:val="24"/>
                      <w:lang w:val="en-US" w:eastAsia="zh-CN" w:bidi="ar"/>
                    </w:rPr>
                    <w:t>县统计局</w:t>
                  </w:r>
                </w:p>
              </w:tc>
              <w:tc>
                <w:tcPr>
                  <w:tcW w:w="186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676767"/>
                      <w:kern w:val="0"/>
                      <w:sz w:val="24"/>
                      <w:szCs w:val="24"/>
                      <w:lang w:val="en-US" w:eastAsia="zh-CN" w:bidi="ar"/>
                    </w:rPr>
                  </w:pPr>
                  <w:r>
                    <w:rPr>
                      <w:rFonts w:hint="eastAsia" w:ascii="宋体" w:hAnsi="宋体" w:eastAsia="宋体" w:cs="宋体"/>
                      <w:color w:val="676767"/>
                      <w:kern w:val="0"/>
                      <w:sz w:val="24"/>
                      <w:szCs w:val="24"/>
                      <w:lang w:val="en-US" w:eastAsia="zh-CN" w:bidi="ar"/>
                    </w:rPr>
                    <w:t>全县范围内所有规模以上工业、有资质的建筑业、限额以上批发和零售业、限额以上住宿和餐饮业、全部房地产开发经营业、规模以上服务业法人单位，以及有承担政府统计调查任务的其它统计调查对象。</w:t>
                  </w:r>
                </w:p>
              </w:tc>
              <w:tc>
                <w:tcPr>
                  <w:tcW w:w="55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676767"/>
                      <w:kern w:val="0"/>
                      <w:sz w:val="24"/>
                      <w:szCs w:val="24"/>
                      <w:lang w:val="en-US" w:eastAsia="zh-CN" w:bidi="ar"/>
                    </w:rPr>
                  </w:pPr>
                  <w:r>
                    <w:rPr>
                      <w:rFonts w:hint="eastAsia" w:ascii="宋体" w:hAnsi="宋体" w:eastAsia="宋体" w:cs="宋体"/>
                      <w:color w:val="676767"/>
                      <w:kern w:val="0"/>
                      <w:sz w:val="24"/>
                      <w:szCs w:val="24"/>
                      <w:lang w:val="en-US" w:eastAsia="zh-CN" w:bidi="ar"/>
                    </w:rPr>
                    <w:t>10%以下</w:t>
                  </w:r>
                </w:p>
              </w:tc>
              <w:tc>
                <w:tcPr>
                  <w:tcW w:w="606"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676767"/>
                      <w:kern w:val="0"/>
                      <w:sz w:val="24"/>
                      <w:szCs w:val="24"/>
                      <w:lang w:val="en-US" w:eastAsia="zh-CN" w:bidi="ar"/>
                    </w:rPr>
                  </w:pPr>
                  <w:r>
                    <w:rPr>
                      <w:rFonts w:hint="eastAsia" w:ascii="宋体" w:hAnsi="宋体" w:eastAsia="宋体" w:cs="宋体"/>
                      <w:color w:val="676767"/>
                      <w:kern w:val="0"/>
                      <w:sz w:val="24"/>
                      <w:szCs w:val="24"/>
                      <w:lang w:val="en-US" w:eastAsia="zh-CN" w:bidi="ar"/>
                    </w:rPr>
                    <w:t>1次/年</w:t>
                  </w:r>
                </w:p>
              </w:tc>
              <w:tc>
                <w:tcPr>
                  <w:tcW w:w="55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676767"/>
                      <w:kern w:val="0"/>
                      <w:sz w:val="24"/>
                      <w:szCs w:val="24"/>
                      <w:lang w:val="en-US" w:eastAsia="zh-CN" w:bidi="ar"/>
                    </w:rPr>
                  </w:pPr>
                  <w:r>
                    <w:rPr>
                      <w:rFonts w:hint="eastAsia" w:ascii="宋体" w:hAnsi="宋体" w:eastAsia="宋体" w:cs="宋体"/>
                      <w:color w:val="676767"/>
                      <w:kern w:val="0"/>
                      <w:sz w:val="24"/>
                      <w:szCs w:val="24"/>
                      <w:lang w:val="en-US" w:eastAsia="zh-CN" w:bidi="ar"/>
                    </w:rPr>
                    <w:t>重点</w:t>
                  </w:r>
                </w:p>
              </w:tc>
              <w:tc>
                <w:tcPr>
                  <w:tcW w:w="165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676767"/>
                      <w:kern w:val="0"/>
                      <w:sz w:val="24"/>
                      <w:szCs w:val="24"/>
                      <w:lang w:val="en-US" w:eastAsia="zh-CN" w:bidi="ar"/>
                    </w:rPr>
                  </w:pPr>
                  <w:r>
                    <w:rPr>
                      <w:rFonts w:hint="eastAsia" w:ascii="宋体" w:hAnsi="宋体" w:eastAsia="宋体" w:cs="宋体"/>
                      <w:color w:val="676767"/>
                      <w:kern w:val="0"/>
                      <w:sz w:val="24"/>
                      <w:szCs w:val="24"/>
                      <w:lang w:val="en-US" w:eastAsia="zh-CN" w:bidi="ar"/>
                    </w:rPr>
                    <w:t>1、依法提供统计资料情况；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676767"/>
                      <w:kern w:val="0"/>
                      <w:sz w:val="24"/>
                      <w:szCs w:val="24"/>
                      <w:lang w:val="en-US" w:eastAsia="zh-CN" w:bidi="ar"/>
                    </w:rPr>
                  </w:pPr>
                  <w:r>
                    <w:rPr>
                      <w:rFonts w:hint="eastAsia" w:ascii="宋体" w:hAnsi="宋体" w:eastAsia="宋体" w:cs="宋体"/>
                      <w:color w:val="676767"/>
                      <w:kern w:val="0"/>
                      <w:sz w:val="24"/>
                      <w:szCs w:val="24"/>
                      <w:lang w:val="en-US" w:eastAsia="zh-CN" w:bidi="ar"/>
                    </w:rPr>
                    <w:t>2、依法建立原始记录、统计台账和统计资料管理制度情况；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676767"/>
                      <w:kern w:val="0"/>
                      <w:sz w:val="24"/>
                      <w:szCs w:val="24"/>
                      <w:lang w:val="en-US" w:eastAsia="zh-CN" w:bidi="ar"/>
                    </w:rPr>
                  </w:pPr>
                  <w:r>
                    <w:rPr>
                      <w:rFonts w:hint="eastAsia" w:ascii="宋体" w:hAnsi="宋体" w:eastAsia="宋体" w:cs="宋体"/>
                      <w:color w:val="676767"/>
                      <w:kern w:val="0"/>
                      <w:sz w:val="24"/>
                      <w:szCs w:val="24"/>
                      <w:lang w:val="en-US" w:eastAsia="zh-CN" w:bidi="ar"/>
                    </w:rPr>
                    <w:t>3、依法为履行法定填报职责提供保障情况；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676767"/>
                      <w:kern w:val="0"/>
                      <w:sz w:val="24"/>
                      <w:szCs w:val="24"/>
                      <w:lang w:val="en-US" w:eastAsia="zh-CN" w:bidi="ar"/>
                    </w:rPr>
                  </w:pPr>
                  <w:r>
                    <w:rPr>
                      <w:rFonts w:hint="eastAsia" w:ascii="宋体" w:hAnsi="宋体" w:eastAsia="宋体" w:cs="宋体"/>
                      <w:color w:val="676767"/>
                      <w:kern w:val="0"/>
                      <w:sz w:val="24"/>
                      <w:szCs w:val="24"/>
                      <w:lang w:val="en-US" w:eastAsia="zh-CN" w:bidi="ar"/>
                    </w:rPr>
                    <w:t>4、依法配合统计调查和统计监督情况。</w:t>
                  </w:r>
                </w:p>
              </w:tc>
              <w:tc>
                <w:tcPr>
                  <w:tcW w:w="764"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1"/>
                      <w:szCs w:val="21"/>
                    </w:rPr>
                  </w:pPr>
                  <w:r>
                    <w:rPr>
                      <w:rFonts w:hint="eastAsia" w:ascii="宋体" w:hAnsi="宋体" w:eastAsia="宋体" w:cs="宋体"/>
                      <w:color w:val="676767"/>
                      <w:kern w:val="0"/>
                      <w:sz w:val="24"/>
                      <w:szCs w:val="24"/>
                      <w:lang w:val="en-US" w:eastAsia="zh-CN" w:bidi="ar"/>
                    </w:rPr>
                    <w:t>否</w:t>
                  </w:r>
                </w:p>
              </w:tc>
              <w:tc>
                <w:tcPr>
                  <w:tcW w:w="58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jc w:val="center"/>
                    <w:rPr>
                      <w:rFonts w:hint="eastAsia" w:ascii="微软雅黑" w:hAnsi="微软雅黑" w:eastAsia="微软雅黑" w:cs="微软雅黑"/>
                      <w:color w:val="676767"/>
                      <w:sz w:val="19"/>
                      <w:szCs w:val="19"/>
                    </w:rPr>
                  </w:pPr>
                </w:p>
              </w:tc>
            </w:tr>
          </w:tbl>
          <w:p>
            <w:pPr>
              <w:jc w:val="left"/>
              <w:rPr>
                <w:rFonts w:hint="eastAsia" w:ascii="微软雅黑" w:hAnsi="微软雅黑" w:eastAsia="微软雅黑" w:cs="微软雅黑"/>
                <w:i w:val="0"/>
                <w:iCs w:val="0"/>
                <w:caps w:val="0"/>
                <w:color w:val="3D3D3D"/>
                <w:spacing w:val="0"/>
                <w:sz w:val="22"/>
                <w:szCs w:val="22"/>
                <w:u w:val="none"/>
              </w:rPr>
            </w:pPr>
          </w:p>
        </w:tc>
      </w:tr>
    </w:tbl>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8B1894"/>
    <w:rsid w:val="386751F2"/>
    <w:rsid w:val="5279558A"/>
    <w:rsid w:val="5A500A64"/>
    <w:rsid w:val="65FE23B4"/>
    <w:rsid w:val="67E06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2021-09-16T06:35:00Z</dcterms:created>
  <dc:creator>Administrator</dc:creator>
  <cp:lastModifiedBy>Administrator</cp:lastModifiedBy>
  <dcterms:modified xsi:type="dcterms:W3CDTF">2021-10-14T06:50:40Z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654CDDC9BD2D416698C118DD75547DF1</vt:lpwstr>
  </property>
</Properties>
</file>