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嘉祥县医疗保障局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本报告由嘉祥县医疗保障局按照《中华人民共和国政府信息公开条例》（以下简称《条例》）和《中华人民共和国政府信息公开工作年度报告格式》（国办公开办函〔2021〕30号）要求编制。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嘉祥县医疗保障局联系（地址：嘉祥县呈祥大道3号，联系电话：0537-6987006）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县医保局深入学习贯彻党的二十大精神，按照国家、省、市关于政务公开工作的部署要求，认真贯彻上级决策部署，以提升为民服务水平为目标，进一步加强政府信息公开的制度化、规范化、常态化建设，积极拓宽信息公开的范围，保障群众对医保政策信息的需求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医保局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工作动态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执法信息公示、通知公告、政策文件、医疗救助数据及各险种运行情况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等关键信息。通过网站公告、定期发布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形式，扩大了信息传播范围，提高了公众对医保政策的认知和理解，使群众更加了解医保政策变化及权益保障情况。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2023年我单位主动公开政府信息共79条，发布数量较去年增加一倍。其中工作动态、行政执法信息公示情况、通知公告发布数量位居前三位，具体情况如图所示。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025390" cy="3105150"/>
            <wp:effectExtent l="4445" t="4445" r="1841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420" w:firstLineChars="200"/>
        <w:textAlignment w:val="auto"/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年，我局受理依申请公开信息申请0条。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建立了完善的政务公开信息管理体系，以确保信息的合规性、安全性和高效性。信息管理监督方面成立政务公开工作领导小组，由主要负责人担任组长、分管负责人担任副组长，指定专人负责政务公开工作，完善政务公开工作机制。信息发布方面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采用规范的流程和标准，确保政务公开信息的准确录入，避免错误和混淆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医疗保障局不断加强平台建设，优化公开栏目设置，精简首页展示内容，突出重点栏目，强化信息查询功能，丰富重点领域公开内容。综合用好依申请公开、12345政务服务便民热线等，及时回应群众关切；积极开展政策宣传活动为群众答疑解惑，发放医保政策宣传材料一万余份，不断强化县医保局信息公开及政策解读发布阵地建设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领导，确保公开有序推进。我局始终坚持把政府信息公开工作摆上重要议事日程，由党组成员分管政府信息公开工作，领导小组办公室下设在局办公室，做到了领导、机构、人员“三到位”，为全面落实政府信息公开各项工作提供了有效的组织保障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另外，我局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修改完善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《政府信息公开指南》，并及时在局官方网站公布，以更好地提供政府信息公开服务，保障公民知情权，促进建立阳光透明政府。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3112"/>
              </w:tabs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　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eastAsia="zh-CN" w:bidi="ar"/>
              </w:rPr>
              <w:tab/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（一）存在问题。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，我局政府信息公开工作取得了一定的成效，但也存在一些问题和不足，主要表现在：一是科室公开意识有待加强。部分科室的信息公开数量不平衡，发布的时效性有待提高。二是信息发布形式有待丰富。政策解读形式缺乏创新，内容设计还不够贴近群众，群众信息可获得性不高。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（二）改进措施。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加强信息公开工作，及时发布法定主动公开信息、工作动态等内容；二是持续丰富信息公开的形式，运用图片、文字、视频等多种形式进行宣传，转载和解读相关政策法规，提高群众满意度和获得感。三是加大公开培训和宣传力度。加强工作人员的业务学习和培训，建立良好的沟通协调机制，将政府信息公开工作更好地融入日常业务工作，规范信息发布审批流程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（一）2023年县医疗保障局高度重视政务公开工作，严格落实政务公开工作责任制，围绕政务公开重点任务，加强人员配备和保障。各科室、单位明确专人负责，有力保障了各项公开任务顺利完成。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（二）2023年度县医疗保障局无收取信息处理费的情况。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（三）人大代表建议和政协提案办理结果公开情况：2023年，本单位未收到人大代表建议和政协提案。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6EC2D4-2F0A-4C72-9694-41D2D2DD0D6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F314BE9-1F7F-405E-A54A-5B0093540028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B22B88-C3ED-4790-96BD-8E699A294A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TA1Y2VmNmI4OWQ4MGU2ZjM5YjAzYzExNzRlOGYifQ=="/>
  </w:docVars>
  <w:rsids>
    <w:rsidRoot w:val="788246E7"/>
    <w:rsid w:val="01E70628"/>
    <w:rsid w:val="02532161"/>
    <w:rsid w:val="02FE031F"/>
    <w:rsid w:val="069114AA"/>
    <w:rsid w:val="07235751"/>
    <w:rsid w:val="07F615C4"/>
    <w:rsid w:val="082F0F7A"/>
    <w:rsid w:val="0C3E1C3C"/>
    <w:rsid w:val="0C4A1EDF"/>
    <w:rsid w:val="0E986DE4"/>
    <w:rsid w:val="0FF10180"/>
    <w:rsid w:val="117B2B3A"/>
    <w:rsid w:val="137A20FF"/>
    <w:rsid w:val="17DD00AB"/>
    <w:rsid w:val="18495740"/>
    <w:rsid w:val="1A473C83"/>
    <w:rsid w:val="1BE20386"/>
    <w:rsid w:val="1C33473D"/>
    <w:rsid w:val="1CBF2475"/>
    <w:rsid w:val="1DF7314B"/>
    <w:rsid w:val="24063DDA"/>
    <w:rsid w:val="25DB14CF"/>
    <w:rsid w:val="272045BA"/>
    <w:rsid w:val="29C76E0D"/>
    <w:rsid w:val="2C1F4CDE"/>
    <w:rsid w:val="2F5D364E"/>
    <w:rsid w:val="30580D83"/>
    <w:rsid w:val="319661C5"/>
    <w:rsid w:val="351C000D"/>
    <w:rsid w:val="35CA5CBB"/>
    <w:rsid w:val="36F45184"/>
    <w:rsid w:val="370F76FD"/>
    <w:rsid w:val="37773C20"/>
    <w:rsid w:val="37EC57A9"/>
    <w:rsid w:val="39730417"/>
    <w:rsid w:val="3D711112"/>
    <w:rsid w:val="3E8E35FE"/>
    <w:rsid w:val="41792343"/>
    <w:rsid w:val="42042555"/>
    <w:rsid w:val="43171E14"/>
    <w:rsid w:val="43C8270A"/>
    <w:rsid w:val="4407632C"/>
    <w:rsid w:val="4446233C"/>
    <w:rsid w:val="453C3DB3"/>
    <w:rsid w:val="48DC7D87"/>
    <w:rsid w:val="4C2E1B95"/>
    <w:rsid w:val="4E6C395B"/>
    <w:rsid w:val="4EF13E61"/>
    <w:rsid w:val="505E7FFF"/>
    <w:rsid w:val="513F5357"/>
    <w:rsid w:val="514E559A"/>
    <w:rsid w:val="53F71F19"/>
    <w:rsid w:val="54BA6AA3"/>
    <w:rsid w:val="55674E7D"/>
    <w:rsid w:val="56C41E5B"/>
    <w:rsid w:val="57BD18A7"/>
    <w:rsid w:val="5A92474A"/>
    <w:rsid w:val="5BD335FA"/>
    <w:rsid w:val="5D37075D"/>
    <w:rsid w:val="5DFD754B"/>
    <w:rsid w:val="60F63558"/>
    <w:rsid w:val="614147D4"/>
    <w:rsid w:val="61B03707"/>
    <w:rsid w:val="621C7EFD"/>
    <w:rsid w:val="64104931"/>
    <w:rsid w:val="662B6A82"/>
    <w:rsid w:val="68D423D1"/>
    <w:rsid w:val="68ED5F0A"/>
    <w:rsid w:val="6B623CC4"/>
    <w:rsid w:val="6CF35490"/>
    <w:rsid w:val="724A34C0"/>
    <w:rsid w:val="72E25FE2"/>
    <w:rsid w:val="73085CA5"/>
    <w:rsid w:val="732E0720"/>
    <w:rsid w:val="76397D18"/>
    <w:rsid w:val="764D37C3"/>
    <w:rsid w:val="77EF68E0"/>
    <w:rsid w:val="788246E7"/>
    <w:rsid w:val="7AF43248"/>
    <w:rsid w:val="7B42141C"/>
    <w:rsid w:val="7C943EFA"/>
    <w:rsid w:val="7CE65DD7"/>
    <w:rsid w:val="7D9F2B56"/>
    <w:rsid w:val="7DAA6B7E"/>
    <w:rsid w:val="7EE20ECF"/>
    <w:rsid w:val="7EEC2EDC"/>
    <w:rsid w:val="7F0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.User-2021TSTGTY\Desktop\&#24037;&#20316;&#26410;&#23436;&#25104;\&#24037;&#20316;&#31807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8223684210526"/>
          <c:y val="0.0793981481481481"/>
          <c:w val="0.383815789473684"/>
          <c:h val="0.675231481481481"/>
        </c:manualLayout>
      </c:layout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Times New Roman" panose="02020603050405020304" charset="0"/>
                    <a:ea typeface="宋体" panose="02010600030101010101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[工作簿1.xlsx]Sheet2!$A$1:$A$8</c:f>
              <c:strCache>
                <c:ptCount val="8"/>
                <c:pt idx="0">
                  <c:v>工作动态</c:v>
                </c:pt>
                <c:pt idx="1">
                  <c:v>行政执法信息公示</c:v>
                </c:pt>
                <c:pt idx="2">
                  <c:v>通知公告</c:v>
                </c:pt>
                <c:pt idx="3">
                  <c:v>优化营商环境政策集成</c:v>
                </c:pt>
                <c:pt idx="4">
                  <c:v>各险种</c:v>
                </c:pt>
                <c:pt idx="5">
                  <c:v>医疗救助文件及数据</c:v>
                </c:pt>
                <c:pt idx="6">
                  <c:v>社会保障服务</c:v>
                </c:pt>
                <c:pt idx="7">
                  <c:v>其他</c:v>
                </c:pt>
              </c:strCache>
            </c:strRef>
          </c:cat>
          <c:val>
            <c:numRef>
              <c:f>[工作簿1.xlsx]Sheet2!$B$1:$B$8</c:f>
              <c:numCache>
                <c:formatCode>General</c:formatCode>
                <c:ptCount val="8"/>
                <c:pt idx="0">
                  <c:v>25</c:v>
                </c:pt>
                <c:pt idx="1">
                  <c:v>17</c:v>
                </c:pt>
                <c:pt idx="2">
                  <c:v>13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宋体" panose="02010600030101010101" charset="-122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0394736842105263"/>
          <c:y val="0.788657407407407"/>
          <c:w val="0.992105263157895"/>
          <c:h val="0.20439814814814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Times New Roman" panose="02020603050405020304" charset="0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u="none" strike="noStrike" kern="1200" cap="none" spc="0" normalizeH="0">
          <a:solidFill>
            <a:schemeClr val="tx1"/>
          </a:solidFill>
          <a:uFill>
            <a:solidFill>
              <a:schemeClr val="tx1"/>
            </a:solidFill>
          </a:uFill>
          <a:latin typeface="Times New Roman" panose="02020603050405020304" charset="0"/>
          <a:ea typeface="宋体" panose="0201060003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2024-01-09T01:06:00Z</dcterms:created>
  <dc:creator>乐此不疲。</dc:creator>
  <cp:lastModifiedBy>乐此不疲。</cp:lastModifiedBy>
  <cp:lastPrinted>2024-01-11T02:48:00Z</cp:lastPrinted>
  <dcterms:modified xsi:type="dcterms:W3CDTF">2024-03-01T03:26:27Z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15EB57CD7849475098D8AA2A79A55DAA_11</vt:lpwstr>
  </property>
</Properties>
</file>