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jc w:val="cente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lang w:eastAsia="zh-CN"/>
          <w14:textFill>
            <w14:solidFill>
              <w14:schemeClr w14:val="tx1"/>
            </w14:solidFill>
          </w14:textFill>
        </w:rPr>
        <w:t>嘉祥县万张街道办事处</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202</w:t>
      </w:r>
      <w:r>
        <w:rPr>
          <w:rFonts w:hint="eastAsia" w:ascii="方正小标宋简体" w:hAnsi="Times New Roman" w:eastAsia="方正小标宋简体" w:cs="Times New Roman"/>
          <w:b/>
          <w:color w:val="000000" w:themeColor="text1"/>
          <w:kern w:val="0"/>
          <w:sz w:val="44"/>
          <w:szCs w:val="44"/>
          <w:lang w:val="en-US" w:eastAsia="zh-CN"/>
          <w14:textFill>
            <w14:solidFill>
              <w14:schemeClr w14:val="tx1"/>
            </w14:solidFill>
          </w14:textFill>
        </w:rPr>
        <w:t>2</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年政府信息</w:t>
      </w:r>
    </w:p>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公开工作年度报告</w:t>
      </w: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本报告由</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嘉祥县万张街道办事处</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中所列数据的统计期自2022年1月1日起至2022年12月31日止。本报告电子版可在嘉祥县政府门户网站（http://www.jiaxiang.gov.cn/）查阅或下载。如对本报告有疑问，请与万张街道办事处联系（地址：嘉祥县万张街道百顺路99号，联系电话：0537-6511016）。</w:t>
      </w:r>
    </w:p>
    <w:p>
      <w:pPr>
        <w:spacing w:line="590" w:lineRule="exact"/>
        <w:ind w:right="-105" w:rightChars="-50" w:firstLine="640"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一、总体情况</w:t>
      </w:r>
    </w:p>
    <w:p>
      <w:pPr>
        <w:spacing w:line="590" w:lineRule="exact"/>
        <w:ind w:right="-105" w:rightChars="-50" w:firstLine="640"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2022年，万张街道坚持以习近平新时代中国特色社会主义思想为指导，深入贯彻落实国家、省政务公开工作部署，结合工作实际，聚焦主责主业，坚持公开为常态、不公开为例外，科学规范主动公开、依申请公开事项，持续做好政府信息公开工作，推动政府信息公开工作水平稳步提升。</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（一）主动公开情况</w:t>
      </w:r>
    </w:p>
    <w:p>
      <w:pPr>
        <w:spacing w:line="590" w:lineRule="exact"/>
        <w:ind w:right="-105" w:rightChars="-50" w:firstLine="640"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一是调整完善机构职能信息。根据2022年人员调整及机构设置情况，及时公开万张街道的机构职能、机构设置、办公地址、办公时间、联系方式、负责人相关信息。二是及时更新街道工作。2022年，街道通过嘉祥县人民政府门户网站万张街道子网、“万张声音”微信公众号、学习强国等平台和各类媒体共主动公开政府信息</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51条</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，将街道新举措、新变化、新动态及时展现给更多的人，方便群众办事和接受社会监督。</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（二）依申请公开情况</w:t>
      </w:r>
    </w:p>
    <w:p>
      <w:pPr>
        <w:spacing w:line="590" w:lineRule="exact"/>
        <w:ind w:right="-105" w:rightChars="-50" w:firstLine="640"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依申请办理工作更加规范，进一步优化了依申请工作流程，做好当面申请的接待、咨询和服务，加强依申请办理过程中与申请人的沟通交流，全面掌握申请人的诉求，有针对性地提高办理质量。2022年，未收到书面或其它形式要求公开政府信息的申请。</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（三）政府信息管理情况</w:t>
      </w:r>
    </w:p>
    <w:p>
      <w:pPr>
        <w:spacing w:line="590" w:lineRule="exact"/>
        <w:ind w:right="-105" w:rightChars="-50" w:firstLine="640"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一是政府信息管理制度建设情况。由党政办公室负责政府信息公开工作，指定专人确保信息及时更新、公开，严格遵守遵循依法规范公开原则，真实、准确、及时发布信息。二是完善工作机制，坚决履行公开审核、保密安全制度。对于拟公开的信息要做到审核严密，不允许出现错字漏字、内容准确有效、表述规范、可公开，并且责任到人，做到谁公开谁负责。三是拓宽信息公开渠道。街道办事处日常工作主要由“万张声音”公众号等发布，重要信息、紧急信息、公告信息由政府信息公开管理系统，做到重要信息专题报，紧急信息马上报，日常信息集中报。</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万张街道以县政府门户网站为政府信息公开平台，未开设微博、微信公众号等信息公开平台，政府信息公开工作由专人负责，按时间要求及时更新工作动态，不断丰富工作内容。</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（五）监督保障情况</w:t>
      </w: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万张街道高度重视政府信息公开工作，及时调整政务公开工作人员，确保工作不断档。并且定期对政府公开信息进行监督检查，明确政府信息公开工作责任，确保政府信息公开及时准确。</w:t>
      </w:r>
    </w:p>
    <w:p>
      <w:pPr>
        <w:spacing w:line="590" w:lineRule="exact"/>
        <w:ind w:right="-105" w:rightChars="-50" w:firstLine="640"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hAnsi="Times New Roman" w:eastAsia="方正黑体简体" w:cs="Times New Roman"/>
                <w:b/>
                <w:kern w:val="0"/>
                <w:sz w:val="24"/>
                <w:szCs w:val="24"/>
              </w:rPr>
            </w:pPr>
            <w:r>
              <w:rPr>
                <w:rFonts w:hint="eastAsia" w:ascii="方正黑体简体" w:hAnsi="宋体" w:eastAsia="方正黑体简体" w:cs="宋体"/>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bidi="ar"/>
              </w:rPr>
              <w:t> </w:t>
            </w: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bidi="ar"/>
              </w:rPr>
              <w:t> </w:t>
            </w: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bidi="ar"/>
              </w:rPr>
              <w:t> </w:t>
            </w: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0</w:t>
            </w:r>
          </w:p>
        </w:tc>
      </w:tr>
    </w:tbl>
    <w:p>
      <w:pPr>
        <w:spacing w:before="62" w:beforeLines="10" w:after="62" w:afterLines="10" w:line="600" w:lineRule="exact"/>
        <w:ind w:firstLine="640"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三、收到和处理政府信息公开申请情况</w:t>
      </w:r>
    </w:p>
    <w:tbl>
      <w:tblPr>
        <w:tblStyle w:val="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楷体" w:eastAsia="方正黑体简体" w:cs="楷体"/>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商业</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科研</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p>
        </w:tc>
        <w:tc>
          <w:tcPr>
            <w:tcW w:w="52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（二）部分公开</w:t>
            </w:r>
            <w:r>
              <w:rPr>
                <w:rFonts w:hint="eastAsia" w:ascii="方正仿宋简体" w:hAnsi="楷体" w:eastAsia="方正仿宋简体" w:cs="楷体"/>
                <w:b/>
                <w:kern w:val="0"/>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（三）不予公开</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1.属于国家秘密</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（四）无法提供</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（五）不予处理</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2.重复申请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（六）其他处理</w:t>
            </w: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3.其他</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bl>
    <w:p>
      <w:pPr>
        <w:spacing w:line="590" w:lineRule="exact"/>
        <w:ind w:right="-105" w:rightChars="-50" w:firstLine="640"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2"/>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kern w:val="0"/>
                <w:sz w:val="21"/>
                <w:szCs w:val="21"/>
                <w:lang w:bidi="ar"/>
              </w:rPr>
            </w:pPr>
            <w:r>
              <w:rPr>
                <w:rFonts w:hint="eastAsia" w:ascii="方正黑体简体" w:hAnsi="宋体" w:eastAsia="方正黑体简体" w:cs="宋体"/>
                <w:b/>
                <w:kern w:val="0"/>
                <w:sz w:val="21"/>
                <w:szCs w:val="21"/>
                <w:lang w:bidi="ar"/>
              </w:rPr>
              <w:t>结果</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val="en-US" w:eastAsia="zh-CN" w:bidi="ar"/>
              </w:rPr>
              <w:t>0</w:t>
            </w:r>
            <w:r>
              <w:rPr>
                <w:rFonts w:hint="eastAsia" w:ascii="方正黑体简体" w:hAnsi="宋体" w:eastAsia="方正黑体简体" w:cs="黑体"/>
                <w:b/>
                <w:kern w:val="0"/>
                <w:sz w:val="21"/>
                <w:szCs w:val="21"/>
                <w:lang w:bidi="ar"/>
              </w:rPr>
              <w:t> </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val="en-US" w:eastAsia="zh-CN" w:bidi="ar"/>
              </w:rPr>
              <w:t>0</w:t>
            </w:r>
            <w:r>
              <w:rPr>
                <w:rFonts w:hint="eastAsia" w:ascii="方正黑体简体" w:hAnsi="宋体" w:eastAsia="方正黑体简体" w:cs="黑体"/>
                <w:b/>
                <w:kern w:val="0"/>
                <w:sz w:val="21"/>
                <w:szCs w:val="21"/>
                <w:lang w:bidi="ar"/>
              </w:rPr>
              <w:t> </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val="en-US" w:eastAsia="zh-CN" w:bidi="ar"/>
              </w:rPr>
              <w:t>0</w:t>
            </w:r>
            <w:r>
              <w:rPr>
                <w:rFonts w:hint="eastAsia" w:ascii="方正黑体简体" w:hAnsi="宋体" w:eastAsia="方正黑体简体" w:cs="黑体"/>
                <w:b/>
                <w:kern w:val="0"/>
                <w:sz w:val="21"/>
                <w:szCs w:val="21"/>
                <w:lang w:bidi="ar"/>
              </w:rPr>
              <w:t> </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val="en-US" w:eastAsia="zh-CN" w:bidi="ar"/>
              </w:rPr>
              <w:t>0</w:t>
            </w:r>
            <w:r>
              <w:rPr>
                <w:rFonts w:hint="eastAsia" w:ascii="方正黑体简体" w:hAnsi="宋体" w:eastAsia="方正黑体简体" w:cs="黑体"/>
                <w:b/>
                <w:kern w:val="0"/>
                <w:sz w:val="21"/>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val="en-US" w:eastAsia="zh-CN" w:bidi="ar"/>
              </w:rPr>
              <w:t>0</w:t>
            </w:r>
            <w:r>
              <w:rPr>
                <w:rFonts w:hint="eastAsia" w:ascii="方正黑体简体" w:hAnsi="宋体" w:eastAsia="方正黑体简体" w:cs="黑体"/>
                <w:b/>
                <w:kern w:val="0"/>
                <w:sz w:val="21"/>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val="en-US" w:eastAsia="zh-CN" w:bidi="ar"/>
              </w:rPr>
              <w:t>0</w:t>
            </w:r>
            <w:r>
              <w:rPr>
                <w:rFonts w:hint="eastAsia" w:ascii="方正黑体简体" w:hAnsi="宋体" w:eastAsia="方正黑体简体" w:cs="黑体"/>
                <w:b/>
                <w:kern w:val="0"/>
                <w:sz w:val="21"/>
                <w:szCs w:val="21"/>
                <w:lang w:bidi="ar"/>
              </w:rPr>
              <w:t> </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方正黑体简体" w:hAnsi="Times New Roman" w:eastAsia="方正黑体简体" w:cs="Times New Roman"/>
                <w:b/>
                <w:kern w:val="0"/>
                <w:sz w:val="21"/>
                <w:szCs w:val="21"/>
                <w:lang w:val="en-US" w:eastAsia="zh-CN"/>
              </w:rPr>
            </w:pPr>
            <w:r>
              <w:rPr>
                <w:rFonts w:hint="eastAsia" w:ascii="方正黑体简体" w:hAnsi="Times New Roman" w:eastAsia="方正黑体简体" w:cs="Times New Roman"/>
                <w:b/>
                <w:kern w:val="0"/>
                <w:sz w:val="21"/>
                <w:szCs w:val="21"/>
                <w:lang w:val="en-US" w:eastAsia="zh-CN"/>
              </w:rPr>
              <w:t>0</w:t>
            </w:r>
          </w:p>
        </w:tc>
      </w:tr>
    </w:tbl>
    <w:p>
      <w:pPr>
        <w:spacing w:line="590" w:lineRule="exact"/>
        <w:ind w:right="-105" w:rightChars="-50" w:firstLine="640"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五、存在的主要问题及改进情况</w:t>
      </w:r>
    </w:p>
    <w:p>
      <w:pPr>
        <w:spacing w:line="590" w:lineRule="exact"/>
        <w:ind w:right="-105" w:rightChars="-50" w:firstLine="640"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2022年，万张街道在政务公开工作方面取得了一定成效，但目前仍然存在着问题和不足之处，主要存在以下两方面问题：</w:t>
      </w:r>
    </w:p>
    <w:p>
      <w:pPr>
        <w:spacing w:line="590" w:lineRule="exact"/>
        <w:ind w:right="-105" w:rightChars="-50" w:firstLine="640"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（一）政府信息公开信息化建设水平不高，方式方法简单。</w:t>
      </w:r>
    </w:p>
    <w:p>
      <w:pPr>
        <w:spacing w:line="590" w:lineRule="exact"/>
        <w:ind w:right="-105" w:rightChars="-50" w:firstLine="640"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（二）专门从事政府信息公开工作人员不足，业务水平不够高。</w:t>
      </w:r>
    </w:p>
    <w:p>
      <w:pPr>
        <w:spacing w:line="590" w:lineRule="exact"/>
        <w:ind w:right="-105" w:rightChars="-50" w:firstLine="640"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针对上述问题，万张街道立即展开研究，制定整改措施，改进情况如下：</w:t>
      </w:r>
    </w:p>
    <w:p>
      <w:pPr>
        <w:spacing w:line="590" w:lineRule="exact"/>
        <w:ind w:right="-105" w:rightChars="-50" w:firstLine="640"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（一）规范政府信息公开操作流程，更好履行政府信息公开职责，不断提高我街道政府信息公开工作的质量，补齐工作短板，完善工作机制。</w:t>
      </w:r>
    </w:p>
    <w:p>
      <w:pPr>
        <w:spacing w:line="590" w:lineRule="exact"/>
        <w:ind w:right="-105" w:rightChars="-50" w:firstLine="640"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（二）提升政府信息公开工作的创新性，结合我街道政务工作特色，主动改进工作方式方法。</w:t>
      </w:r>
    </w:p>
    <w:p>
      <w:pPr>
        <w:spacing w:line="590" w:lineRule="exact"/>
        <w:ind w:right="-105" w:rightChars="-50" w:firstLine="640"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六、其他需要报告的事项</w:t>
      </w:r>
    </w:p>
    <w:p>
      <w:pPr>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（一）收取信息处理费情况</w:t>
      </w:r>
    </w:p>
    <w:p>
      <w:pPr>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无。</w:t>
      </w:r>
    </w:p>
    <w:p>
      <w:pPr>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（二）落实上级年度政务公开工作要点情况</w:t>
      </w:r>
    </w:p>
    <w:p>
      <w:pPr>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2022年，我街道严格落实国家、省市县政务公开工作要点，认真贯彻落实每项政府公开工作文件，充分保障了群众的知情权、监督权。</w:t>
      </w:r>
    </w:p>
    <w:p>
      <w:pPr>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（三）人大代表建议和政协委员提案办理结果公开情况</w:t>
      </w:r>
    </w:p>
    <w:p>
      <w:pPr>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今年共收到人大代表建议0件，政协委员提案0件。</w:t>
      </w:r>
    </w:p>
    <w:p>
      <w:pPr>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（四）年度政务公开工作创新情况</w:t>
      </w:r>
    </w:p>
    <w:p>
      <w:pPr>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坚持“一体开展，各有侧重，惠民便民”的思路，在街道</w:t>
      </w:r>
      <w:r>
        <w:rPr>
          <w:rFonts w:hint="eastAsia" w:ascii="方正仿宋简体" w:hAnsi="Times New Roman" w:eastAsia="方正仿宋简体" w:cs="Times New Roman"/>
          <w:b/>
          <w:kern w:val="0"/>
          <w:sz w:val="32"/>
          <w:szCs w:val="32"/>
          <w:lang w:eastAsia="zh-CN"/>
        </w:rPr>
        <w:t>为</w:t>
      </w:r>
      <w:r>
        <w:rPr>
          <w:rFonts w:hint="eastAsia" w:ascii="方正仿宋简体" w:hAnsi="Times New Roman" w:eastAsia="方正仿宋简体" w:cs="Times New Roman"/>
          <w:b/>
          <w:kern w:val="0"/>
          <w:sz w:val="32"/>
          <w:szCs w:val="32"/>
        </w:rPr>
        <w:t>民服务大厅、</w:t>
      </w:r>
      <w:r>
        <w:rPr>
          <w:rFonts w:hint="eastAsia" w:ascii="方正仿宋简体" w:hAnsi="Times New Roman" w:eastAsia="方正仿宋简体" w:cs="Times New Roman"/>
          <w:b/>
          <w:kern w:val="0"/>
          <w:sz w:val="32"/>
          <w:szCs w:val="32"/>
          <w:lang w:eastAsia="zh-CN"/>
        </w:rPr>
        <w:t>马海村村委会</w:t>
      </w:r>
      <w:r>
        <w:rPr>
          <w:rFonts w:hint="eastAsia" w:ascii="方正仿宋简体" w:hAnsi="Times New Roman" w:eastAsia="方正仿宋简体" w:cs="Times New Roman"/>
          <w:b/>
          <w:kern w:val="0"/>
          <w:sz w:val="32"/>
          <w:szCs w:val="32"/>
        </w:rPr>
        <w:t>分别打造政务公开专区，配备公开资料展示架、专用电脑等10余项设施设备，可实现政务公开宣传、政府信息查询、信息公开申请等7项功能，居民可就近选择专区对政府公报、政策文件、便民手册等政务信息进行查阅，对政务公开申请、查询等服务进行办理。</w:t>
      </w:r>
    </w:p>
    <w:p>
      <w:pPr>
        <w:rPr>
          <w:rFonts w:hint="eastAsia" w:ascii="方正仿宋简体" w:hAnsi="Times New Roman" w:eastAsia="方正仿宋简体" w:cs="Times New Roman"/>
          <w:b/>
          <w:kern w:val="0"/>
          <w:sz w:val="32"/>
          <w:szCs w:val="32"/>
        </w:rPr>
      </w:pPr>
      <w:bookmarkStart w:id="0" w:name="_GoBack"/>
      <w:bookmarkEnd w:id="0"/>
      <w:r>
        <w:rPr>
          <w:rFonts w:hint="eastAsia" w:ascii="方正仿宋简体" w:hAnsi="Times New Roman" w:eastAsia="方正仿宋简体" w:cs="Times New Roman"/>
          <w:b/>
          <w:kern w:val="0"/>
          <w:sz w:val="32"/>
          <w:szCs w:val="32"/>
        </w:rPr>
        <w:t>（五）本行政机关政府信息公开工作年度报告数据统计需要说明的事项</w:t>
      </w:r>
    </w:p>
    <w:p>
      <w:pPr>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无。</w:t>
      </w:r>
    </w:p>
    <w:p>
      <w:pPr>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（六）本行政机关认为需要报告的其他事项</w:t>
      </w:r>
    </w:p>
    <w:p>
      <w:pPr>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无。</w:t>
      </w:r>
    </w:p>
    <w:p>
      <w:pPr>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（七）其他有关文件专门要求通过政府信息公开工作年度报告予以报告的事项。</w:t>
      </w:r>
    </w:p>
    <w:p>
      <w:r>
        <w:rPr>
          <w:rFonts w:hint="eastAsia" w:ascii="方正仿宋简体" w:hAnsi="Times New Roman" w:eastAsia="方正仿宋简体" w:cs="Times New Roman"/>
          <w:b/>
          <w:kern w:val="0"/>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DE1YzI4N2I4MDg0NmY3NmZmNmZmNTA1ZTNlNjMifQ=="/>
  </w:docVars>
  <w:rsids>
    <w:rsidRoot w:val="7BB7394D"/>
    <w:rsid w:val="62931483"/>
    <w:rsid w:val="7BB7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2576</Words>
  <Characters>2666</Characters>
  <Lines>0</Lines>
  <Paragraphs>0</Paragraphs>
  <TotalTime>3</TotalTime>
  <ScaleCrop>false</ScaleCrop>
  <LinksUpToDate>false</LinksUpToDate>
  <CharactersWithSpaces>2865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2023-01-16T05:43:00Z</dcterms:created>
  <dc:creator>犹菊钒苫捎</dc:creator>
  <cp:lastModifiedBy>犹菊钒苫捎</cp:lastModifiedBy>
  <dcterms:modified xsi:type="dcterms:W3CDTF">2023-01-18T08:11:55Z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EDD377F0127D474BB2A07E4F2D00C3C5</vt:lpwstr>
  </property>
</Properties>
</file>